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="00927085">
        <w:rPr>
          <w:rFonts w:ascii="Times New Roman" w:eastAsia="Times New Roman" w:hAnsi="Times New Roman" w:cs="Times New Roman"/>
          <w:b/>
          <w:bCs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2979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Брянской области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3D11C6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7A3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29792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5E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30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708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32E4B" w:rsidRPr="00332E4B" w:rsidRDefault="00332E4B" w:rsidP="00332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4B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1.2.4 плана работы Контрольно-счетной палаты на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5 от 15.05.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A2DB7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</w:t>
      </w:r>
      <w:r w:rsidR="00600DD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A2DB7">
        <w:rPr>
          <w:rFonts w:ascii="Times New Roman" w:eastAsia="Times New Roman" w:hAnsi="Times New Roman" w:cs="Times New Roman"/>
          <w:sz w:val="28"/>
          <w:szCs w:val="28"/>
        </w:rPr>
        <w:t xml:space="preserve">рянской области </w:t>
      </w:r>
      <w:r w:rsidR="00B35ED3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F248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B35ED3">
        <w:rPr>
          <w:rFonts w:ascii="Times New Roman" w:eastAsia="Times New Roman" w:hAnsi="Times New Roman" w:cs="Times New Roman"/>
          <w:sz w:val="28"/>
          <w:szCs w:val="28"/>
        </w:rPr>
        <w:t>Лопазненское</w:t>
      </w:r>
      <w:proofErr w:type="spellEnd"/>
      <w:r w:rsidR="00B35ED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за 1 квартал  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46DA">
        <w:rPr>
          <w:rFonts w:ascii="Times New Roman" w:eastAsia="Times New Roman" w:hAnsi="Times New Roman" w:cs="Times New Roman"/>
          <w:sz w:val="28"/>
          <w:szCs w:val="28"/>
        </w:rPr>
        <w:t>Суражского района Брянской области</w:t>
      </w:r>
      <w:r w:rsidR="003C46DA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D5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8C01F6">
        <w:rPr>
          <w:rFonts w:ascii="Times New Roman" w:eastAsia="Times New Roman" w:hAnsi="Times New Roman" w:cs="Times New Roman"/>
          <w:sz w:val="28"/>
          <w:szCs w:val="28"/>
        </w:rPr>
        <w:t>Лопазненской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257DE4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D31F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3E44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257DE4">
      <w:pPr>
        <w:tabs>
          <w:tab w:val="left" w:pos="1250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  <w:r w:rsidR="00257DE4">
        <w:rPr>
          <w:rFonts w:ascii="Times New Roman" w:hAnsi="Times New Roman"/>
          <w:sz w:val="28"/>
          <w:szCs w:val="28"/>
        </w:rPr>
        <w:tab/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7D621B">
        <w:rPr>
          <w:rFonts w:ascii="Times New Roman" w:hAnsi="Times New Roman"/>
          <w:sz w:val="28"/>
          <w:szCs w:val="28"/>
        </w:rPr>
        <w:t>8</w:t>
      </w:r>
      <w:r w:rsidRPr="006E64B1">
        <w:rPr>
          <w:rFonts w:ascii="Times New Roman" w:hAnsi="Times New Roman"/>
          <w:sz w:val="28"/>
          <w:szCs w:val="28"/>
        </w:rPr>
        <w:t>.12.</w:t>
      </w:r>
      <w:r w:rsidR="00FB400B">
        <w:rPr>
          <w:rFonts w:ascii="Times New Roman" w:hAnsi="Times New Roman"/>
          <w:sz w:val="28"/>
          <w:szCs w:val="28"/>
        </w:rPr>
        <w:t>202</w:t>
      </w:r>
      <w:r w:rsidR="007D621B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D31F7">
        <w:rPr>
          <w:rFonts w:ascii="Times New Roman" w:hAnsi="Times New Roman"/>
          <w:sz w:val="28"/>
          <w:szCs w:val="28"/>
        </w:rPr>
        <w:t xml:space="preserve"> </w:t>
      </w:r>
      <w:r w:rsidR="007D621B">
        <w:rPr>
          <w:rFonts w:ascii="Times New Roman" w:hAnsi="Times New Roman"/>
          <w:sz w:val="28"/>
          <w:szCs w:val="28"/>
        </w:rPr>
        <w:t>40</w:t>
      </w:r>
      <w:r w:rsidR="007C1ABC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4B1">
        <w:rPr>
          <w:rFonts w:ascii="Calibri" w:hAnsi="Calibri"/>
          <w:sz w:val="28"/>
          <w:szCs w:val="28"/>
        </w:rPr>
        <w:t xml:space="preserve"> </w:t>
      </w:r>
      <w:r w:rsidR="00311D25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hAnsi="Times New Roman"/>
          <w:sz w:val="28"/>
          <w:szCs w:val="28"/>
        </w:rPr>
        <w:t xml:space="preserve">на </w:t>
      </w:r>
      <w:r w:rsidR="003D11C6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>
        <w:rPr>
          <w:rFonts w:ascii="Times New Roman" w:hAnsi="Times New Roman"/>
          <w:sz w:val="28"/>
          <w:szCs w:val="28"/>
        </w:rPr>
        <w:t>2</w:t>
      </w:r>
      <w:r w:rsidR="007D621B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7D621B">
        <w:rPr>
          <w:rFonts w:ascii="Times New Roman" w:hAnsi="Times New Roman"/>
          <w:sz w:val="28"/>
          <w:szCs w:val="28"/>
        </w:rPr>
        <w:t>7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3D11C6">
        <w:rPr>
          <w:rFonts w:ascii="Times New Roman" w:hAnsi="Times New Roman"/>
          <w:sz w:val="28"/>
          <w:szCs w:val="28"/>
        </w:rPr>
        <w:t>2025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7D621B">
        <w:rPr>
          <w:rFonts w:ascii="Times New Roman" w:hAnsi="Times New Roman"/>
          <w:sz w:val="28"/>
          <w:szCs w:val="28"/>
        </w:rPr>
        <w:t>4284,3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7D621B">
        <w:rPr>
          <w:rFonts w:ascii="Times New Roman" w:hAnsi="Times New Roman"/>
          <w:sz w:val="28"/>
          <w:szCs w:val="28"/>
        </w:rPr>
        <w:t>4284,3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7D621B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D31F7">
        <w:rPr>
          <w:rFonts w:ascii="Times New Roman" w:hAnsi="Times New Roman"/>
          <w:sz w:val="28"/>
          <w:szCs w:val="28"/>
        </w:rPr>
        <w:t>0</w:t>
      </w:r>
      <w:r w:rsidR="00454B40">
        <w:rPr>
          <w:rFonts w:ascii="Times New Roman" w:hAnsi="Times New Roman"/>
          <w:sz w:val="28"/>
          <w:szCs w:val="28"/>
        </w:rPr>
        <w:t>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8711CC" w:rsidRDefault="00403855" w:rsidP="0045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1 квартала </w:t>
      </w:r>
      <w:r w:rsidR="00FB400B">
        <w:rPr>
          <w:rFonts w:ascii="Times New Roman" w:hAnsi="Times New Roman"/>
          <w:sz w:val="28"/>
          <w:szCs w:val="28"/>
        </w:rPr>
        <w:t>2023</w:t>
      </w:r>
      <w:r w:rsidRPr="006E64B1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</w:t>
      </w:r>
      <w:r w:rsidR="008711CC">
        <w:rPr>
          <w:rFonts w:ascii="Times New Roman" w:hAnsi="Times New Roman"/>
          <w:sz w:val="28"/>
          <w:szCs w:val="28"/>
        </w:rPr>
        <w:t xml:space="preserve">поселения 1 раз вносились </w:t>
      </w:r>
      <w:r w:rsidR="00B23D43">
        <w:rPr>
          <w:rFonts w:ascii="Times New Roman" w:hAnsi="Times New Roman"/>
          <w:sz w:val="28"/>
          <w:szCs w:val="28"/>
        </w:rPr>
        <w:t>изменения</w:t>
      </w:r>
      <w:r w:rsidR="008711CC">
        <w:rPr>
          <w:rFonts w:ascii="Times New Roman" w:hAnsi="Times New Roman"/>
          <w:sz w:val="28"/>
          <w:szCs w:val="28"/>
        </w:rPr>
        <w:t xml:space="preserve"> в бюджет</w:t>
      </w:r>
      <w:r w:rsidR="007D621B">
        <w:rPr>
          <w:rFonts w:ascii="Times New Roman" w:hAnsi="Times New Roman"/>
          <w:sz w:val="28"/>
          <w:szCs w:val="28"/>
        </w:rPr>
        <w:t>,</w:t>
      </w:r>
      <w:r w:rsidR="008711CC">
        <w:rPr>
          <w:rFonts w:ascii="Times New Roman" w:hAnsi="Times New Roman"/>
          <w:sz w:val="28"/>
          <w:szCs w:val="28"/>
        </w:rPr>
        <w:t xml:space="preserve"> с учетом которых основные показатели бюджета выглядят следующим образом:</w:t>
      </w:r>
    </w:p>
    <w:p w:rsidR="00B94D2A" w:rsidRPr="006E64B1" w:rsidRDefault="00B94D2A" w:rsidP="00B94D2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7D621B">
        <w:rPr>
          <w:rFonts w:ascii="Times New Roman" w:hAnsi="Times New Roman"/>
          <w:sz w:val="28"/>
          <w:szCs w:val="28"/>
        </w:rPr>
        <w:t>4291,0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B94D2A" w:rsidRPr="006E64B1" w:rsidRDefault="00B94D2A" w:rsidP="00B94D2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7D621B">
        <w:rPr>
          <w:rFonts w:ascii="Times New Roman" w:hAnsi="Times New Roman"/>
          <w:sz w:val="28"/>
          <w:szCs w:val="28"/>
        </w:rPr>
        <w:t>4374,0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7D621B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B94D2A" w:rsidRDefault="00B94D2A" w:rsidP="00B94D2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дефицит бюджета утвержден в сумме </w:t>
      </w:r>
      <w:r w:rsidR="007D621B">
        <w:rPr>
          <w:rFonts w:ascii="Times New Roman" w:hAnsi="Times New Roman"/>
          <w:sz w:val="28"/>
          <w:szCs w:val="28"/>
        </w:rPr>
        <w:t>83,0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FB6D84">
        <w:rPr>
          <w:rFonts w:ascii="Times New Roman" w:hAnsi="Times New Roman"/>
          <w:sz w:val="28"/>
          <w:szCs w:val="28"/>
        </w:rPr>
        <w:t xml:space="preserve">1 квартал </w:t>
      </w:r>
      <w:r w:rsidR="003D11C6">
        <w:rPr>
          <w:rFonts w:ascii="Times New Roman" w:hAnsi="Times New Roman"/>
          <w:sz w:val="28"/>
          <w:szCs w:val="28"/>
        </w:rPr>
        <w:t>2025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FB6D84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7C1ABC">
        <w:rPr>
          <w:rFonts w:ascii="Times New Roman" w:hAnsi="Times New Roman"/>
          <w:sz w:val="28"/>
          <w:szCs w:val="28"/>
        </w:rPr>
        <w:t xml:space="preserve"> </w:t>
      </w:r>
      <w:r w:rsidR="007D621B">
        <w:rPr>
          <w:rFonts w:ascii="Times New Roman" w:hAnsi="Times New Roman"/>
          <w:sz w:val="28"/>
          <w:szCs w:val="28"/>
        </w:rPr>
        <w:t>1504,1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7C1ABC">
        <w:rPr>
          <w:rFonts w:ascii="Times New Roman" w:hAnsi="Times New Roman"/>
          <w:sz w:val="28"/>
          <w:szCs w:val="28"/>
        </w:rPr>
        <w:t xml:space="preserve"> </w:t>
      </w:r>
      <w:r w:rsidR="007D621B">
        <w:rPr>
          <w:rFonts w:ascii="Times New Roman" w:hAnsi="Times New Roman"/>
          <w:sz w:val="28"/>
          <w:szCs w:val="28"/>
        </w:rPr>
        <w:t>941,4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7D621B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</w:t>
      </w:r>
      <w:r w:rsidR="007D621B">
        <w:rPr>
          <w:rFonts w:ascii="Times New Roman" w:hAnsi="Times New Roman"/>
          <w:sz w:val="28"/>
          <w:szCs w:val="28"/>
        </w:rPr>
        <w:t>113,0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FB6D84">
        <w:rPr>
          <w:rFonts w:ascii="Times New Roman" w:hAnsi="Times New Roman"/>
          <w:sz w:val="28"/>
          <w:szCs w:val="28"/>
        </w:rPr>
        <w:t xml:space="preserve">1 квартал </w:t>
      </w:r>
      <w:r w:rsidR="003D11C6">
        <w:rPr>
          <w:rFonts w:ascii="Times New Roman" w:hAnsi="Times New Roman"/>
          <w:sz w:val="28"/>
          <w:szCs w:val="28"/>
        </w:rPr>
        <w:t>2025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46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4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7C1A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3D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7C1A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3D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246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3D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4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246B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3D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FB4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4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246B77" w:rsidRPr="008B551E" w:rsidTr="002434EA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77" w:rsidRPr="008B551E" w:rsidRDefault="00246B7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194,1</w:t>
            </w:r>
          </w:p>
        </w:tc>
      </w:tr>
      <w:tr w:rsidR="00246B77" w:rsidRPr="008B551E" w:rsidTr="002434EA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77" w:rsidRPr="008B551E" w:rsidRDefault="00246B7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129,6</w:t>
            </w:r>
          </w:p>
        </w:tc>
      </w:tr>
      <w:tr w:rsidR="00246B77" w:rsidRPr="008B551E" w:rsidTr="002434EA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77" w:rsidRPr="008B551E" w:rsidRDefault="00246B7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 w:rsidP="00965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659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 раза</w:t>
            </w:r>
          </w:p>
        </w:tc>
      </w:tr>
      <w:tr w:rsidR="00246B77" w:rsidRPr="008B551E" w:rsidTr="002434EA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77" w:rsidRPr="008B551E" w:rsidRDefault="00246B7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128,3</w:t>
            </w:r>
          </w:p>
        </w:tc>
      </w:tr>
      <w:tr w:rsidR="00246B77" w:rsidRPr="008B551E" w:rsidTr="002434EA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77" w:rsidRPr="008B551E" w:rsidRDefault="00246B7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77" w:rsidRPr="00246B77" w:rsidRDefault="00246B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B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-59,4</w:t>
            </w:r>
          </w:p>
        </w:tc>
      </w:tr>
    </w:tbl>
    <w:p w:rsidR="008A4FED" w:rsidRDefault="008A4FED" w:rsidP="008A4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FB6D84">
        <w:rPr>
          <w:rFonts w:ascii="Times New Roman" w:hAnsi="Times New Roman"/>
          <w:sz w:val="28"/>
          <w:szCs w:val="28"/>
        </w:rPr>
        <w:t xml:space="preserve">1 квартал </w:t>
      </w:r>
      <w:r w:rsidR="003D11C6">
        <w:rPr>
          <w:rFonts w:ascii="Times New Roman" w:hAnsi="Times New Roman"/>
          <w:sz w:val="28"/>
          <w:szCs w:val="28"/>
        </w:rPr>
        <w:t>2025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по доходам составило </w:t>
      </w:r>
      <w:r w:rsidR="009659A1">
        <w:rPr>
          <w:rFonts w:ascii="Times New Roman" w:hAnsi="Times New Roman"/>
          <w:sz w:val="28"/>
          <w:szCs w:val="28"/>
        </w:rPr>
        <w:t>24,6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 xml:space="preserve">что на </w:t>
      </w:r>
      <w:r w:rsidR="009659A1">
        <w:rPr>
          <w:rFonts w:ascii="Times New Roman" w:hAnsi="Times New Roman"/>
          <w:sz w:val="28"/>
          <w:szCs w:val="28"/>
        </w:rPr>
        <w:t>94,1</w:t>
      </w:r>
      <w:r>
        <w:rPr>
          <w:rFonts w:ascii="Times New Roman" w:hAnsi="Times New Roman"/>
          <w:sz w:val="28"/>
          <w:szCs w:val="28"/>
        </w:rPr>
        <w:t>% (</w:t>
      </w:r>
      <w:r w:rsidR="009659A1">
        <w:rPr>
          <w:rFonts w:ascii="Times New Roman" w:hAnsi="Times New Roman"/>
          <w:sz w:val="28"/>
          <w:szCs w:val="28"/>
        </w:rPr>
        <w:t>511,1</w:t>
      </w:r>
      <w:r w:rsidR="006F0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рублей) </w:t>
      </w:r>
      <w:r w:rsidR="009659A1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аналогичного периода прошлого года. Собственные доходы поселения </w:t>
      </w:r>
      <w:r w:rsidR="009659A1">
        <w:rPr>
          <w:rFonts w:ascii="Times New Roman" w:hAnsi="Times New Roman"/>
          <w:sz w:val="28"/>
          <w:szCs w:val="28"/>
        </w:rPr>
        <w:t xml:space="preserve">исполнены на 16,8% и </w:t>
      </w:r>
      <w:r w:rsidR="006F0BA6">
        <w:rPr>
          <w:rFonts w:ascii="Times New Roman" w:hAnsi="Times New Roman"/>
          <w:sz w:val="28"/>
          <w:szCs w:val="28"/>
        </w:rPr>
        <w:t xml:space="preserve">на </w:t>
      </w:r>
      <w:r w:rsidR="009659A1">
        <w:rPr>
          <w:rFonts w:ascii="Times New Roman" w:hAnsi="Times New Roman"/>
          <w:sz w:val="28"/>
          <w:szCs w:val="28"/>
        </w:rPr>
        <w:t>29,6</w:t>
      </w:r>
      <w:r w:rsidR="006F0BA6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(</w:t>
      </w:r>
      <w:r w:rsidR="009659A1">
        <w:rPr>
          <w:rFonts w:ascii="Times New Roman" w:hAnsi="Times New Roman"/>
          <w:sz w:val="28"/>
          <w:szCs w:val="28"/>
        </w:rPr>
        <w:t>64,8</w:t>
      </w:r>
      <w:r>
        <w:rPr>
          <w:rFonts w:ascii="Times New Roman" w:hAnsi="Times New Roman"/>
          <w:sz w:val="28"/>
          <w:szCs w:val="28"/>
        </w:rPr>
        <w:t xml:space="preserve"> тыс. рублей) </w:t>
      </w:r>
      <w:r w:rsidR="009659A1">
        <w:rPr>
          <w:rFonts w:ascii="Times New Roman" w:hAnsi="Times New Roman"/>
          <w:sz w:val="28"/>
          <w:szCs w:val="28"/>
        </w:rPr>
        <w:t>выше</w:t>
      </w:r>
      <w:r w:rsidR="000F7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исполнения прошлого года. Безвозмездные поступления </w:t>
      </w:r>
      <w:r w:rsidR="009659A1">
        <w:rPr>
          <w:rFonts w:ascii="Times New Roman" w:hAnsi="Times New Roman"/>
          <w:sz w:val="28"/>
          <w:szCs w:val="28"/>
        </w:rPr>
        <w:t>исполнены на 33,5% и выше</w:t>
      </w:r>
      <w:r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9659A1">
        <w:rPr>
          <w:rFonts w:ascii="Times New Roman" w:hAnsi="Times New Roman"/>
          <w:sz w:val="28"/>
          <w:szCs w:val="28"/>
        </w:rPr>
        <w:t xml:space="preserve">в 2,4 раза </w:t>
      </w:r>
      <w:r>
        <w:rPr>
          <w:rFonts w:ascii="Times New Roman" w:hAnsi="Times New Roman"/>
          <w:sz w:val="28"/>
          <w:szCs w:val="28"/>
        </w:rPr>
        <w:t>(</w:t>
      </w:r>
      <w:r w:rsidR="009659A1">
        <w:rPr>
          <w:rFonts w:ascii="Times New Roman" w:hAnsi="Times New Roman"/>
          <w:sz w:val="28"/>
          <w:szCs w:val="28"/>
        </w:rPr>
        <w:t>446,4</w:t>
      </w:r>
      <w:r w:rsidR="00CC2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рублей). </w:t>
      </w:r>
    </w:p>
    <w:p w:rsidR="008A4FED" w:rsidRPr="006E64B1" w:rsidRDefault="008A4FED" w:rsidP="008A4FE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 </w:t>
      </w:r>
      <w:r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6F04D8">
        <w:rPr>
          <w:rFonts w:ascii="Times New Roman" w:hAnsi="Times New Roman"/>
          <w:sz w:val="28"/>
          <w:szCs w:val="28"/>
        </w:rPr>
        <w:t>21,5</w:t>
      </w:r>
      <w:r w:rsidRPr="006E6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6F04D8">
        <w:rPr>
          <w:rFonts w:ascii="Times New Roman" w:hAnsi="Times New Roman"/>
          <w:sz w:val="28"/>
          <w:szCs w:val="28"/>
        </w:rPr>
        <w:t>28,3</w:t>
      </w:r>
      <w:r>
        <w:rPr>
          <w:rFonts w:ascii="Times New Roman" w:hAnsi="Times New Roman"/>
          <w:sz w:val="28"/>
          <w:szCs w:val="28"/>
        </w:rPr>
        <w:t>%  (</w:t>
      </w:r>
      <w:r w:rsidR="006F04D8">
        <w:rPr>
          <w:rFonts w:ascii="Times New Roman" w:hAnsi="Times New Roman"/>
          <w:sz w:val="28"/>
          <w:szCs w:val="28"/>
        </w:rPr>
        <w:t>207,8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0D6F4E">
        <w:rPr>
          <w:rFonts w:ascii="Times New Roman" w:hAnsi="Times New Roman"/>
          <w:sz w:val="28"/>
          <w:szCs w:val="28"/>
        </w:rPr>
        <w:t xml:space="preserve"> </w:t>
      </w:r>
      <w:r w:rsidR="003930E0">
        <w:rPr>
          <w:rFonts w:ascii="Times New Roman" w:hAnsi="Times New Roman"/>
          <w:sz w:val="28"/>
          <w:szCs w:val="28"/>
        </w:rPr>
        <w:t>выше</w:t>
      </w:r>
      <w:r w:rsidR="000D6F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в </w:t>
      </w:r>
      <w:r w:rsidR="003930E0">
        <w:rPr>
          <w:rFonts w:ascii="Times New Roman" w:hAnsi="Times New Roman"/>
          <w:sz w:val="28"/>
          <w:szCs w:val="28"/>
        </w:rPr>
        <w:t>аналогичном периоде прошлого года</w:t>
      </w:r>
      <w:r w:rsidRPr="006E64B1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930E0" w:rsidRDefault="00403855" w:rsidP="003930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55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доходной части бюджета</w:t>
      </w:r>
    </w:p>
    <w:p w:rsidR="00020E17" w:rsidRPr="00D53BAD" w:rsidRDefault="00077E13" w:rsidP="00317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C6A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6F3432">
        <w:rPr>
          <w:rFonts w:ascii="Times New Roman" w:eastAsia="Times New Roman" w:hAnsi="Times New Roman" w:cs="Times New Roman"/>
          <w:sz w:val="28"/>
          <w:szCs w:val="28"/>
        </w:rPr>
        <w:t>24,6</w:t>
      </w:r>
      <w:r w:rsidRPr="00317BDD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6F3432">
        <w:rPr>
          <w:rFonts w:ascii="Times New Roman" w:eastAsia="Times New Roman" w:hAnsi="Times New Roman" w:cs="Times New Roman"/>
          <w:sz w:val="28"/>
          <w:szCs w:val="28"/>
        </w:rPr>
        <w:t>16,8</w:t>
      </w:r>
      <w:r w:rsidRPr="00317BDD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</w:t>
      </w:r>
      <w:r w:rsidRPr="00D53BAD">
        <w:rPr>
          <w:rFonts w:ascii="Times New Roman" w:eastAsia="Times New Roman" w:hAnsi="Times New Roman" w:cs="Times New Roman"/>
          <w:sz w:val="28"/>
          <w:szCs w:val="28"/>
        </w:rPr>
        <w:t xml:space="preserve">налоговых доходов составляет 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26,1%</w:t>
      </w:r>
      <w:r w:rsidR="00C108E4" w:rsidRPr="00D53BAD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доходов – </w:t>
      </w:r>
      <w:r w:rsidR="006C3C6A" w:rsidRPr="00D53BAD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9E231D" w:rsidRPr="00D53BAD">
        <w:rPr>
          <w:rFonts w:ascii="Times New Roman" w:eastAsia="Times New Roman" w:hAnsi="Times New Roman" w:cs="Times New Roman"/>
          <w:sz w:val="28"/>
          <w:szCs w:val="28"/>
        </w:rPr>
        <w:t xml:space="preserve">% от </w:t>
      </w:r>
      <w:r w:rsidR="000D1C4C" w:rsidRPr="00D53BAD">
        <w:rPr>
          <w:rFonts w:ascii="Times New Roman" w:eastAsia="Times New Roman" w:hAnsi="Times New Roman" w:cs="Times New Roman"/>
          <w:sz w:val="28"/>
          <w:szCs w:val="28"/>
        </w:rPr>
        <w:t xml:space="preserve"> планов</w:t>
      </w:r>
      <w:r w:rsidR="009E231D" w:rsidRPr="00D53BA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D1C4C" w:rsidRPr="00D53BAD">
        <w:rPr>
          <w:rFonts w:ascii="Times New Roman" w:eastAsia="Times New Roman" w:hAnsi="Times New Roman" w:cs="Times New Roman"/>
          <w:sz w:val="28"/>
          <w:szCs w:val="28"/>
        </w:rPr>
        <w:t xml:space="preserve"> показател</w:t>
      </w:r>
      <w:r w:rsidR="009E231D" w:rsidRPr="00D53B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53B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1C4C" w:rsidRPr="00D53B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3BAD">
        <w:rPr>
          <w:rFonts w:ascii="Times New Roman" w:eastAsia="Times New Roman" w:hAnsi="Times New Roman" w:cs="Times New Roman"/>
          <w:sz w:val="28"/>
          <w:szCs w:val="28"/>
        </w:rPr>
        <w:t>о безвозмездным поступлениям</w:t>
      </w:r>
      <w:r w:rsidR="000D1C4C" w:rsidRPr="00D53BAD">
        <w:rPr>
          <w:rFonts w:ascii="Times New Roman" w:eastAsia="Times New Roman" w:hAnsi="Times New Roman" w:cs="Times New Roman"/>
          <w:sz w:val="28"/>
          <w:szCs w:val="28"/>
        </w:rPr>
        <w:t xml:space="preserve"> исполнение сложилось в объеме 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33,5</w:t>
      </w:r>
      <w:r w:rsidRPr="00D53BAD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D53B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FB6D84"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FB400B"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6F3432"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FB6D84" w:rsidRPr="00D53B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8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1134"/>
        <w:gridCol w:w="1130"/>
        <w:gridCol w:w="1383"/>
        <w:gridCol w:w="1097"/>
        <w:gridCol w:w="19"/>
      </w:tblGrid>
      <w:tr w:rsidR="00335D8E" w:rsidRPr="00F95E1C" w:rsidTr="00A32FD2">
        <w:trPr>
          <w:trHeight w:val="111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F95E1C" w:rsidRDefault="00335D8E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F95E1C" w:rsidRDefault="00335D8E" w:rsidP="003535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53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F95E1C" w:rsidRDefault="00335D8E" w:rsidP="006F34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квартал 202</w:t>
            </w:r>
            <w:r w:rsidR="006F3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D8E" w:rsidRPr="00335D8E" w:rsidRDefault="00335D8E" w:rsidP="00E74C7F">
            <w:pPr>
              <w:rPr>
                <w:rFonts w:ascii="Times New Roman" w:hAnsi="Times New Roman" w:cs="Times New Roman"/>
                <w:b/>
              </w:rPr>
            </w:pPr>
            <w:r w:rsidRPr="00335D8E"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proofErr w:type="gramStart"/>
            <w:r w:rsidRPr="00335D8E">
              <w:rPr>
                <w:rFonts w:ascii="Times New Roman" w:hAnsi="Times New Roman" w:cs="Times New Roman"/>
                <w:b/>
              </w:rPr>
              <w:t>испол</w:t>
            </w:r>
            <w:proofErr w:type="spellEnd"/>
            <w:r w:rsidRPr="00335D8E">
              <w:rPr>
                <w:rFonts w:ascii="Times New Roman" w:hAnsi="Times New Roman" w:cs="Times New Roman"/>
                <w:b/>
              </w:rPr>
              <w:t>-нения</w:t>
            </w:r>
            <w:proofErr w:type="gramEnd"/>
            <w:r w:rsidRPr="00335D8E">
              <w:rPr>
                <w:rFonts w:ascii="Times New Roman" w:hAnsi="Times New Roman" w:cs="Times New Roman"/>
                <w:b/>
              </w:rPr>
              <w:t xml:space="preserve"> к уточненной бюджетной росписи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5D8E" w:rsidRPr="00335D8E" w:rsidRDefault="00335D8E" w:rsidP="00E74C7F">
            <w:pPr>
              <w:rPr>
                <w:rFonts w:ascii="Times New Roman" w:hAnsi="Times New Roman" w:cs="Times New Roman"/>
                <w:b/>
              </w:rPr>
            </w:pPr>
            <w:r w:rsidRPr="00335D8E">
              <w:rPr>
                <w:rFonts w:ascii="Times New Roman" w:hAnsi="Times New Roman" w:cs="Times New Roman"/>
                <w:b/>
              </w:rPr>
              <w:t>Структура</w:t>
            </w:r>
          </w:p>
        </w:tc>
        <w:tc>
          <w:tcPr>
            <w:tcW w:w="19" w:type="dxa"/>
            <w:vAlign w:val="center"/>
          </w:tcPr>
          <w:p w:rsidR="00335D8E" w:rsidRPr="00961CF2" w:rsidRDefault="00335D8E" w:rsidP="002C28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0A8A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A8A" w:rsidRPr="00F95E1C" w:rsidRDefault="004B0A8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26,9</w:t>
            </w:r>
          </w:p>
        </w:tc>
      </w:tr>
      <w:tr w:rsidR="004B0A8A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A8A" w:rsidRPr="00F95E1C" w:rsidRDefault="004B0A8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B0A8A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A8A" w:rsidRPr="00F95E1C" w:rsidRDefault="004B0A8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</w:tr>
      <w:tr w:rsidR="004B0A8A" w:rsidRPr="00F95E1C" w:rsidTr="00A32FD2">
        <w:trPr>
          <w:gridAfter w:val="1"/>
          <w:wAfter w:w="19" w:type="dxa"/>
          <w:trHeight w:val="27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A8A" w:rsidRPr="00F95E1C" w:rsidRDefault="004B0A8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4B0A8A" w:rsidRPr="00F95E1C" w:rsidTr="00A32FD2">
        <w:trPr>
          <w:gridAfter w:val="1"/>
          <w:wAfter w:w="19" w:type="dxa"/>
          <w:trHeight w:val="133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A8A" w:rsidRPr="00F95E1C" w:rsidRDefault="004B0A8A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</w:t>
            </w:r>
          </w:p>
        </w:tc>
      </w:tr>
      <w:tr w:rsidR="004B0A8A" w:rsidRPr="00F95E1C" w:rsidTr="00A32FD2">
        <w:trPr>
          <w:gridAfter w:val="1"/>
          <w:wAfter w:w="19" w:type="dxa"/>
          <w:trHeight w:val="285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A8A" w:rsidRPr="00F95E1C" w:rsidRDefault="004B0A8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</w:tr>
      <w:tr w:rsidR="004B0A8A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A8A" w:rsidRPr="00F95E1C" w:rsidRDefault="004B0A8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D53B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B0A8A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A8A" w:rsidRPr="00F95E1C" w:rsidRDefault="004B0A8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D53B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B0A8A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A8A" w:rsidRPr="00F95E1C" w:rsidRDefault="004B0A8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0A8A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A8A" w:rsidRPr="00F95E1C" w:rsidRDefault="004B0A8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D53B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B0A8A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A8A" w:rsidRPr="00F95E1C" w:rsidRDefault="004B0A8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B0A8A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A8A" w:rsidRPr="00F95E1C" w:rsidRDefault="004B0A8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D53B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B0A8A" w:rsidRPr="00F95E1C" w:rsidTr="00A32FD2">
        <w:trPr>
          <w:gridAfter w:val="1"/>
          <w:wAfter w:w="19" w:type="dxa"/>
          <w:trHeight w:val="315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A8A" w:rsidRPr="00F95E1C" w:rsidRDefault="004B0A8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73,1</w:t>
            </w:r>
          </w:p>
        </w:tc>
      </w:tr>
      <w:tr w:rsidR="004B0A8A" w:rsidRPr="00F95E1C" w:rsidTr="00A32FD2">
        <w:trPr>
          <w:gridAfter w:val="1"/>
          <w:wAfter w:w="19" w:type="dxa"/>
          <w:trHeight w:val="51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A8A" w:rsidRPr="00F95E1C" w:rsidRDefault="004B0A8A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4B0A8A" w:rsidRPr="00F95E1C" w:rsidTr="00A32FD2">
        <w:trPr>
          <w:gridAfter w:val="1"/>
          <w:wAfter w:w="19" w:type="dxa"/>
          <w:trHeight w:val="51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A8A" w:rsidRPr="00F95E1C" w:rsidRDefault="004B0A8A" w:rsidP="00A32FD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</w:tr>
      <w:tr w:rsidR="004B0A8A" w:rsidRPr="00F95E1C" w:rsidTr="00A32FD2">
        <w:trPr>
          <w:gridAfter w:val="1"/>
          <w:wAfter w:w="19" w:type="dxa"/>
          <w:trHeight w:val="395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A8A" w:rsidRPr="00F95E1C" w:rsidRDefault="004B0A8A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4B0A8A" w:rsidRPr="00F95E1C" w:rsidTr="00A32FD2">
        <w:trPr>
          <w:gridAfter w:val="1"/>
          <w:wAfter w:w="19" w:type="dxa"/>
          <w:trHeight w:val="30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A8A" w:rsidRPr="00F95E1C" w:rsidRDefault="004B0A8A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1054,1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B0A8A" w:rsidRPr="004B0A8A" w:rsidRDefault="004B0A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283,8</w:t>
      </w:r>
      <w:r w:rsidR="00200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26,9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 наибольший удельный вес в структуре занима</w:t>
      </w:r>
      <w:r w:rsidR="00FA559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2A7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59F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73,1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207,4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770,3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73,1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поступлений.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Наибольший удельный вес в структуре безвозмездных поступлений занимают</w:t>
      </w: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17BDD">
        <w:rPr>
          <w:rFonts w:ascii="Times New Roman" w:eastAsia="Times New Roman" w:hAnsi="Times New Roman" w:cs="Times New Roman"/>
          <w:sz w:val="28"/>
          <w:szCs w:val="28"/>
        </w:rPr>
        <w:t>рочие МБТ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88,3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680,0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25,1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12,2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8,8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12,8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3,9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собственных доходов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составляет 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4,5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207,4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21,1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113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73,1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4507A" w:rsidRPr="006E64B1" w:rsidRDefault="00403855" w:rsidP="00C450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38,2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50,9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% от п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D7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уточненной бюджетной росписи). В структуре </w:t>
      </w:r>
      <w:r w:rsidR="00C4507A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13,5</w:t>
      </w:r>
      <w:r w:rsidR="00C4507A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55B06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</w:p>
    <w:p w:rsidR="00155B06" w:rsidRDefault="00155B06" w:rsidP="00155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B06">
        <w:rPr>
          <w:rFonts w:ascii="Times New Roman" w:eastAsia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 w:rsidR="00C7473C" w:rsidRPr="00C747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473C"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C7473C">
        <w:rPr>
          <w:rFonts w:ascii="Times New Roman" w:eastAsia="Times New Roman" w:hAnsi="Times New Roman" w:cs="Times New Roman"/>
          <w:sz w:val="28"/>
          <w:szCs w:val="28"/>
        </w:rPr>
        <w:t xml:space="preserve">не поступало.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23DC1" w:rsidRPr="006E64B1" w:rsidRDefault="00155B06" w:rsidP="00223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Прочие неналоговые доходы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3DC1"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223DC1">
        <w:rPr>
          <w:rFonts w:ascii="Times New Roman" w:eastAsia="Times New Roman" w:hAnsi="Times New Roman" w:cs="Times New Roman"/>
          <w:sz w:val="28"/>
          <w:szCs w:val="28"/>
        </w:rPr>
        <w:t xml:space="preserve">не поступало.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поступали в бюджет в сумме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54,8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17BDD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7,1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32824" w:rsidRDefault="001134AD" w:rsidP="0011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сидии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  бюджетам  субъектов РФ  муниципальных образований</w:t>
      </w:r>
      <w:r w:rsidR="000328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7BDD" w:rsidRPr="006E64B1" w:rsidRDefault="00317BDD" w:rsidP="0031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Прочие межбюджетные трансферты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680,0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35,4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росписи). В структуре безвозмездных поступлений субвенции составляют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88,3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1134AD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03855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35,6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21,8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 xml:space="preserve"> 4,6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1732DD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32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B66EDF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2DD">
        <w:rPr>
          <w:rFonts w:ascii="Times New Roman" w:eastAsia="Times New Roman" w:hAnsi="Times New Roman" w:cs="Times New Roman"/>
          <w:sz w:val="28"/>
          <w:szCs w:val="28"/>
        </w:rPr>
        <w:t xml:space="preserve"> Расходы бюджета за </w:t>
      </w:r>
      <w:r w:rsidR="005922CA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1732DD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4374,0</w:t>
      </w:r>
      <w:r w:rsidRPr="001732DD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D53BAD">
        <w:rPr>
          <w:rFonts w:ascii="Times New Roman" w:eastAsia="Times New Roman" w:hAnsi="Times New Roman" w:cs="Times New Roman"/>
          <w:sz w:val="28"/>
          <w:szCs w:val="28"/>
        </w:rPr>
        <w:t>941,4</w:t>
      </w:r>
      <w:r w:rsidRPr="001732DD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B66EDF">
        <w:rPr>
          <w:rFonts w:ascii="Times New Roman" w:eastAsia="Times New Roman" w:hAnsi="Times New Roman" w:cs="Times New Roman"/>
          <w:sz w:val="28"/>
          <w:szCs w:val="28"/>
        </w:rPr>
        <w:t xml:space="preserve">. рублей, или на </w:t>
      </w:r>
      <w:r w:rsidR="00D53BAD" w:rsidRPr="00B66EDF">
        <w:rPr>
          <w:rFonts w:ascii="Times New Roman" w:eastAsia="Times New Roman" w:hAnsi="Times New Roman" w:cs="Times New Roman"/>
          <w:sz w:val="28"/>
          <w:szCs w:val="28"/>
        </w:rPr>
        <w:t>21,5</w:t>
      </w:r>
      <w:r w:rsidRPr="00B66EDF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B66EDF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EDF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CF0A3B" w:rsidRPr="00B66ED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66EDF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</w:t>
      </w:r>
      <w:r w:rsidR="00900A3F"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 w:rsidR="00900A3F" w:rsidRPr="00B66E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0A3F"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</w:t>
      </w:r>
      <w:r w:rsidR="00900A3F" w:rsidRPr="00B66EDF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900A3F">
        <w:rPr>
          <w:rFonts w:ascii="Times New Roman" w:eastAsia="Times New Roman" w:hAnsi="Times New Roman" w:cs="Times New Roman"/>
          <w:sz w:val="28"/>
          <w:szCs w:val="28"/>
        </w:rPr>
        <w:t>24,3</w:t>
      </w:r>
      <w:r w:rsidR="00900A3F" w:rsidRPr="00B66EDF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1732DD" w:rsidRPr="00B66EDF">
        <w:rPr>
          <w:rFonts w:ascii="Times New Roman" w:eastAsia="Times New Roman" w:hAnsi="Times New Roman" w:cs="Times New Roman"/>
          <w:sz w:val="28"/>
          <w:szCs w:val="28"/>
        </w:rPr>
        <w:t xml:space="preserve">наименьшее по разделу </w:t>
      </w:r>
      <w:r w:rsidR="00900A3F"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 w:rsidRPr="00B66ED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0A3F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Pr="00B66EDF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900A3F">
        <w:rPr>
          <w:rFonts w:ascii="Times New Roman" w:eastAsia="Times New Roman" w:hAnsi="Times New Roman" w:cs="Times New Roman"/>
          <w:sz w:val="28"/>
          <w:szCs w:val="28"/>
        </w:rPr>
        <w:t>17,6</w:t>
      </w:r>
      <w:r w:rsidRPr="00B66EDF">
        <w:rPr>
          <w:rFonts w:ascii="Times New Roman" w:eastAsia="Times New Roman" w:hAnsi="Times New Roman" w:cs="Times New Roman"/>
          <w:sz w:val="28"/>
          <w:szCs w:val="28"/>
        </w:rPr>
        <w:t>%, Отсутствует исполнение по разделу 0</w:t>
      </w:r>
      <w:r w:rsidR="003D27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6EDF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экономика».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6EDF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B66E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B66E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B66E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3D11C6" w:rsidRPr="00B66EDF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1C8F" w:rsidRPr="00B66E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DD1C8F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B66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5922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3D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5922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</w:t>
            </w:r>
            <w:r w:rsidR="00FB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3D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FB6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C19A1" w:rsidRPr="00D53F7F" w:rsidTr="008D43C3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Pr="00D53F7F" w:rsidRDefault="002C19A1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Pr="00D53F7F" w:rsidRDefault="002C19A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C19A1" w:rsidRPr="00D53F7F" w:rsidTr="008D43C3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Pr="00D53F7F" w:rsidRDefault="002C19A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Pr="00D53F7F" w:rsidRDefault="002C19A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2C19A1" w:rsidRPr="00D53F7F" w:rsidTr="008D43C3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Pr="00D53F7F" w:rsidRDefault="002C19A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Pr="00D53F7F" w:rsidRDefault="002C19A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2C19A1" w:rsidRPr="00D53F7F" w:rsidTr="008D43C3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Pr="00D53F7F" w:rsidRDefault="002C19A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Pr="00D53F7F" w:rsidRDefault="002C19A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2C19A1" w:rsidRPr="00D53F7F" w:rsidTr="008D43C3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A1" w:rsidRPr="00D53F7F" w:rsidRDefault="002C19A1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A1" w:rsidRPr="00D53F7F" w:rsidRDefault="002C19A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C19A1" w:rsidRPr="00D53F7F" w:rsidTr="008D43C3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Pr="00D53F7F" w:rsidRDefault="002C19A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Pr="00D53F7F" w:rsidRDefault="002C19A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2C19A1" w:rsidRPr="00D53F7F" w:rsidTr="008D43C3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Pr="00D53F7F" w:rsidRDefault="002C19A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Pr="00D53F7F" w:rsidRDefault="002C19A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</w:tcPr>
          <w:p w:rsidR="002C19A1" w:rsidRDefault="002C1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6D6899" w:rsidRPr="004A6F7A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 xml:space="preserve">«Общегосударственные вопросы» составил – </w:t>
      </w:r>
      <w:r w:rsidR="002E7056" w:rsidRPr="004A6F7A">
        <w:rPr>
          <w:rFonts w:ascii="Times New Roman" w:eastAsia="Times New Roman" w:hAnsi="Times New Roman" w:cs="Times New Roman"/>
          <w:sz w:val="28"/>
          <w:szCs w:val="28"/>
        </w:rPr>
        <w:t>66,0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 w:rsidRPr="004A6F7A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 w:rsidRPr="004A6F7A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4A6F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F0A3B" w:rsidRPr="004A6F7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E7056" w:rsidRPr="004A6F7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E7056" w:rsidRPr="004A6F7A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="00C90AF2" w:rsidRPr="004A6F7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 w:rsidRPr="004A6F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7056" w:rsidRPr="004A6F7A">
        <w:rPr>
          <w:rFonts w:ascii="Times New Roman" w:eastAsia="Times New Roman" w:hAnsi="Times New Roman" w:cs="Times New Roman"/>
          <w:sz w:val="28"/>
          <w:szCs w:val="28"/>
        </w:rPr>
        <w:t>3,8</w:t>
      </w:r>
      <w:r w:rsidR="006D6899" w:rsidRPr="004A6F7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4A6F7A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F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Pr="004A6F7A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7A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</w:t>
      </w:r>
      <w:r w:rsidR="005F5D7D" w:rsidRPr="004A6F7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 xml:space="preserve">ставило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621,0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24,3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росписи, удельный вес в общей сумме расходов составил 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 xml:space="preserve"> 66,0</w:t>
      </w:r>
      <w:r w:rsidRPr="004A6F7A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 w:rsidRPr="004A6F7A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A6F7A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A6F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 w:rsidRPr="004A6F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4A6F7A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4A6F7A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A6F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A6F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 w:rsidRPr="004A6F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4A6F7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 w:rsidRPr="004A6F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4A6F7A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35,6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21,8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3,8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186,8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17,8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19,8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По данному разделу 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98,0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17,6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10,4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293CEE" w:rsidRDefault="00403855" w:rsidP="00F75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proofErr w:type="spellStart"/>
      <w:r w:rsidR="00F75EDE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B41646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>ный.</w:t>
      </w:r>
      <w:r w:rsidR="00F20380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периода </w:t>
      </w:r>
      <w:r w:rsidR="00293CEE"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 в бюджет, утвержден дефицит бюджета в сумме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83,0</w:t>
      </w:r>
      <w:r w:rsidR="00293CEE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A8091D" w:rsidRDefault="00293CEE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>Согласно ф. 0503178 на 01.01.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 xml:space="preserve"> года остаток на счете составлял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83,0</w:t>
      </w:r>
      <w:r w:rsidR="00A809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проф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ицитом в объеме </w:t>
      </w:r>
      <w:r w:rsidR="004A6F7A">
        <w:rPr>
          <w:rFonts w:ascii="Times New Roman" w:eastAsia="Times New Roman" w:hAnsi="Times New Roman" w:cs="Times New Roman"/>
          <w:sz w:val="28"/>
          <w:szCs w:val="28"/>
        </w:rPr>
        <w:t>113,0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78003F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39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FB400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823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5B6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396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53B"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DE053B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="00DE053B" w:rsidRPr="006E64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E053B" w:rsidRPr="006E64B1">
        <w:rPr>
          <w:rFonts w:ascii="Calibri" w:hAnsi="Calibri"/>
          <w:sz w:val="28"/>
          <w:szCs w:val="28"/>
        </w:rPr>
        <w:t xml:space="preserve"> </w:t>
      </w:r>
      <w:r w:rsidR="00DE053B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="00DE053B" w:rsidRPr="006E64B1">
        <w:rPr>
          <w:rFonts w:ascii="Times New Roman" w:hAnsi="Times New Roman"/>
          <w:sz w:val="28"/>
          <w:szCs w:val="28"/>
        </w:rPr>
        <w:t xml:space="preserve">на </w:t>
      </w:r>
      <w:r w:rsidR="003D11C6">
        <w:rPr>
          <w:rFonts w:ascii="Times New Roman" w:hAnsi="Times New Roman"/>
          <w:sz w:val="28"/>
          <w:szCs w:val="28"/>
        </w:rPr>
        <w:t>2025</w:t>
      </w:r>
      <w:r w:rsidR="00DE053B"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DE053B">
        <w:rPr>
          <w:rFonts w:ascii="Times New Roman" w:hAnsi="Times New Roman"/>
          <w:sz w:val="28"/>
          <w:szCs w:val="28"/>
        </w:rPr>
        <w:t>2</w:t>
      </w:r>
      <w:r w:rsidR="00C82396">
        <w:rPr>
          <w:rFonts w:ascii="Times New Roman" w:hAnsi="Times New Roman"/>
          <w:sz w:val="28"/>
          <w:szCs w:val="28"/>
        </w:rPr>
        <w:t>6</w:t>
      </w:r>
      <w:r w:rsidR="00DE053B" w:rsidRPr="006E64B1">
        <w:rPr>
          <w:rFonts w:ascii="Times New Roman" w:hAnsi="Times New Roman"/>
          <w:sz w:val="28"/>
          <w:szCs w:val="28"/>
        </w:rPr>
        <w:t xml:space="preserve"> и 202</w:t>
      </w:r>
      <w:r w:rsidR="00C82396">
        <w:rPr>
          <w:rFonts w:ascii="Times New Roman" w:hAnsi="Times New Roman"/>
          <w:sz w:val="28"/>
          <w:szCs w:val="28"/>
        </w:rPr>
        <w:t>7</w:t>
      </w:r>
      <w:r w:rsidR="00DE053B" w:rsidRPr="006E64B1">
        <w:rPr>
          <w:rFonts w:ascii="Times New Roman" w:hAnsi="Times New Roman"/>
          <w:sz w:val="28"/>
          <w:szCs w:val="28"/>
        </w:rPr>
        <w:t xml:space="preserve"> годов»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были запланированы бюджетные ассигнования на реализацию 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39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40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C2B" w:rsidRPr="00323EE8" w:rsidRDefault="00706C2B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«Обеспечение пожарной безопасности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поселения на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60E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BB00BC">
        <w:rPr>
          <w:rFonts w:ascii="Times New Roman" w:eastAsia="Times New Roman" w:hAnsi="Times New Roman" w:cs="Times New Roman"/>
          <w:sz w:val="28"/>
          <w:szCs w:val="28"/>
        </w:rPr>
        <w:t>4367,0</w:t>
      </w:r>
      <w:r w:rsidR="00BA7B8B" w:rsidRPr="00323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AD7B9A" w:rsidRPr="00323EE8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BB00B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23EE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993"/>
        <w:gridCol w:w="993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6630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3D1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6630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663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отчетный период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9002FD" w:rsidRPr="008E30C7" w:rsidTr="00F20380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9002FD" w:rsidP="00BB00BC">
            <w:pPr>
              <w:tabs>
                <w:tab w:val="left" w:pos="552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</w:t>
            </w:r>
            <w:proofErr w:type="spellEnd"/>
            <w:r w:rsidR="00BB00B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9002FD" w:rsidRPr="008E30C7" w:rsidRDefault="009002FD" w:rsidP="00D60E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Лопазненского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FB400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60E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D11C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60E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BB00BC" w:rsidP="00F20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3103,9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BB00BC" w:rsidP="0070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2FD" w:rsidRPr="009002FD" w:rsidRDefault="00BB00BC" w:rsidP="00704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9002FD" w:rsidRPr="008E30C7" w:rsidTr="00F20380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9002FD" w:rsidP="00D60E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Лопазненского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FB400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60E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D11C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60E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BB00BC" w:rsidP="0070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BB00BC" w:rsidP="0070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2FD" w:rsidRPr="009002FD" w:rsidRDefault="00BB00BC" w:rsidP="00704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</w:tr>
      <w:tr w:rsidR="009002FD" w:rsidRPr="008E30C7" w:rsidTr="00F20380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FD" w:rsidRPr="008E30C7" w:rsidRDefault="009002FD" w:rsidP="00D60E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пожарной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Лопазненского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FB400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60E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D11C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D60E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FD" w:rsidRPr="008E30C7" w:rsidRDefault="00D60E06" w:rsidP="007048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2FD" w:rsidRPr="008E30C7" w:rsidRDefault="00D60E06" w:rsidP="0070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FD" w:rsidRPr="009002FD" w:rsidRDefault="00D60E06" w:rsidP="00FD17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</w:tr>
      <w:tr w:rsidR="009002FD" w:rsidRPr="008E30C7" w:rsidTr="00F20380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9002FD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D60E06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4367,0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2FD" w:rsidRPr="008E30C7" w:rsidRDefault="00D60E06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2FD" w:rsidRPr="009002FD" w:rsidRDefault="00D60E06" w:rsidP="00F203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21,6</w:t>
            </w:r>
          </w:p>
        </w:tc>
      </w:tr>
    </w:tbl>
    <w:p w:rsidR="0051219C" w:rsidRDefault="00403855" w:rsidP="00BB0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Кассовое исполнение по программам составило </w:t>
      </w:r>
      <w:r w:rsidR="00BB00BC">
        <w:rPr>
          <w:rFonts w:ascii="Times New Roman" w:hAnsi="Times New Roman"/>
          <w:sz w:val="28"/>
          <w:szCs w:val="28"/>
        </w:rPr>
        <w:t>941,4</w:t>
      </w:r>
      <w:r w:rsidR="009540C7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рублей, или </w:t>
      </w:r>
      <w:r w:rsidR="00BB00BC">
        <w:rPr>
          <w:rFonts w:ascii="Times New Roman" w:hAnsi="Times New Roman"/>
          <w:sz w:val="28"/>
          <w:szCs w:val="28"/>
        </w:rPr>
        <w:t>21,6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51219C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 </w:t>
      </w:r>
      <w:r w:rsidR="00BB00BC" w:rsidRPr="00BB00BC">
        <w:rPr>
          <w:rFonts w:ascii="Times New Roman" w:hAnsi="Times New Roman"/>
          <w:sz w:val="28"/>
          <w:szCs w:val="28"/>
        </w:rPr>
        <w:t xml:space="preserve">01 «Реализация полномочий органов местного самоуправления </w:t>
      </w:r>
      <w:proofErr w:type="spellStart"/>
      <w:r w:rsidR="00BB00BC" w:rsidRPr="00BB00BC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="00BB00BC" w:rsidRPr="00BB00BC">
        <w:rPr>
          <w:rFonts w:ascii="Times New Roman" w:hAnsi="Times New Roman"/>
          <w:sz w:val="28"/>
          <w:szCs w:val="28"/>
        </w:rPr>
        <w:t xml:space="preserve"> сельского поселения на 2025-2027 годы»</w:t>
      </w:r>
      <w:r w:rsidR="0051219C" w:rsidRPr="00D22E74">
        <w:rPr>
          <w:rFonts w:ascii="Times New Roman" w:hAnsi="Times New Roman"/>
          <w:sz w:val="28"/>
          <w:szCs w:val="28"/>
        </w:rPr>
        <w:t xml:space="preserve">- </w:t>
      </w:r>
      <w:r w:rsidR="001C6D91">
        <w:rPr>
          <w:rFonts w:ascii="Times New Roman" w:hAnsi="Times New Roman"/>
          <w:sz w:val="28"/>
          <w:szCs w:val="28"/>
        </w:rPr>
        <w:t>2</w:t>
      </w:r>
      <w:r w:rsidR="00BB00BC">
        <w:rPr>
          <w:rFonts w:ascii="Times New Roman" w:hAnsi="Times New Roman"/>
          <w:sz w:val="28"/>
          <w:szCs w:val="28"/>
        </w:rPr>
        <w:t>3,2</w:t>
      </w:r>
      <w:r w:rsidR="0051219C" w:rsidRPr="00D22E74">
        <w:rPr>
          <w:rFonts w:ascii="Times New Roman" w:hAnsi="Times New Roman"/>
          <w:sz w:val="28"/>
          <w:szCs w:val="28"/>
        </w:rPr>
        <w:t>%</w:t>
      </w:r>
      <w:r w:rsidR="001C6D91">
        <w:rPr>
          <w:rFonts w:ascii="Times New Roman" w:hAnsi="Times New Roman"/>
          <w:sz w:val="28"/>
          <w:szCs w:val="28"/>
        </w:rPr>
        <w:t xml:space="preserve">, наиболее низкое – </w:t>
      </w:r>
      <w:r w:rsidR="00BB00BC">
        <w:rPr>
          <w:rFonts w:ascii="Times New Roman" w:hAnsi="Times New Roman"/>
          <w:sz w:val="28"/>
          <w:szCs w:val="28"/>
        </w:rPr>
        <w:t>17,8</w:t>
      </w:r>
      <w:r w:rsidR="001C6D91">
        <w:rPr>
          <w:rFonts w:ascii="Times New Roman" w:hAnsi="Times New Roman"/>
          <w:sz w:val="28"/>
          <w:szCs w:val="28"/>
        </w:rPr>
        <w:t xml:space="preserve">% по программе </w:t>
      </w:r>
      <w:r w:rsidR="00BB00BC" w:rsidRPr="00BB00BC">
        <w:rPr>
          <w:rFonts w:ascii="Times New Roman" w:hAnsi="Times New Roman"/>
          <w:sz w:val="28"/>
          <w:szCs w:val="28"/>
        </w:rPr>
        <w:t xml:space="preserve">03 «Обеспечение пожарной безопасности </w:t>
      </w:r>
      <w:proofErr w:type="spellStart"/>
      <w:r w:rsidR="00BB00BC" w:rsidRPr="00BB00BC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="00BB00BC" w:rsidRPr="00BB00BC">
        <w:rPr>
          <w:rFonts w:ascii="Times New Roman" w:hAnsi="Times New Roman"/>
          <w:sz w:val="28"/>
          <w:szCs w:val="28"/>
        </w:rPr>
        <w:t xml:space="preserve"> сельского поселения на 2025-2027 годы»</w:t>
      </w:r>
      <w:r w:rsidR="00BB00BC">
        <w:rPr>
          <w:rFonts w:ascii="Times New Roman" w:hAnsi="Times New Roman"/>
          <w:sz w:val="28"/>
          <w:szCs w:val="28"/>
        </w:rPr>
        <w:t>.</w:t>
      </w:r>
    </w:p>
    <w:p w:rsidR="00F20380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034FF1">
        <w:rPr>
          <w:rFonts w:ascii="Times New Roman" w:hAnsi="Times New Roman"/>
          <w:sz w:val="28"/>
          <w:szCs w:val="28"/>
        </w:rPr>
        <w:t xml:space="preserve">утверждены в объеме </w:t>
      </w:r>
      <w:r w:rsidR="00D60E06">
        <w:rPr>
          <w:rFonts w:ascii="Times New Roman" w:hAnsi="Times New Roman"/>
          <w:sz w:val="28"/>
          <w:szCs w:val="28"/>
        </w:rPr>
        <w:t>7,0</w:t>
      </w:r>
      <w:r w:rsidR="00034FF1">
        <w:rPr>
          <w:rFonts w:ascii="Times New Roman" w:hAnsi="Times New Roman"/>
          <w:sz w:val="28"/>
          <w:szCs w:val="28"/>
        </w:rPr>
        <w:t xml:space="preserve"> тыс. рублей. Исполне</w:t>
      </w:r>
      <w:r w:rsidR="00323EE8">
        <w:rPr>
          <w:rFonts w:ascii="Times New Roman" w:hAnsi="Times New Roman"/>
          <w:sz w:val="28"/>
          <w:szCs w:val="28"/>
        </w:rPr>
        <w:t xml:space="preserve">ние </w:t>
      </w:r>
      <w:r w:rsidR="00D60E06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323EE8">
        <w:rPr>
          <w:rFonts w:ascii="Times New Roman" w:hAnsi="Times New Roman"/>
          <w:sz w:val="28"/>
          <w:szCs w:val="28"/>
        </w:rPr>
        <w:t>отсутствует.</w:t>
      </w:r>
    </w:p>
    <w:p w:rsidR="003B18EC" w:rsidRPr="006E64B1" w:rsidRDefault="003B18EC" w:rsidP="003B18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3B18EC" w:rsidRPr="006E64B1" w:rsidRDefault="003B18EC" w:rsidP="003B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3B18EC" w:rsidRDefault="003B18EC" w:rsidP="003B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927085">
        <w:rPr>
          <w:rFonts w:ascii="Times New Roman" w:hAnsi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FB6D84">
        <w:rPr>
          <w:rFonts w:ascii="Times New Roman" w:hAnsi="Times New Roman"/>
          <w:sz w:val="28"/>
          <w:szCs w:val="28"/>
        </w:rPr>
        <w:t xml:space="preserve">1 квартал </w:t>
      </w:r>
      <w:r w:rsidR="003D11C6">
        <w:rPr>
          <w:rFonts w:ascii="Times New Roman" w:hAnsi="Times New Roman"/>
          <w:sz w:val="28"/>
          <w:szCs w:val="28"/>
        </w:rPr>
        <w:t>2025</w:t>
      </w:r>
      <w:r w:rsidR="00FB6D84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927085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E9387F">
        <w:rPr>
          <w:rFonts w:ascii="Times New Roman" w:hAnsi="Times New Roman"/>
          <w:sz w:val="28"/>
          <w:szCs w:val="28"/>
        </w:rPr>
        <w:t>4291,0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E9387F">
        <w:rPr>
          <w:rFonts w:ascii="Times New Roman" w:hAnsi="Times New Roman"/>
          <w:sz w:val="28"/>
          <w:szCs w:val="28"/>
        </w:rPr>
        <w:t>4374,0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E9387F">
        <w:rPr>
          <w:rFonts w:ascii="Times New Roman" w:hAnsi="Times New Roman"/>
          <w:sz w:val="28"/>
          <w:szCs w:val="28"/>
        </w:rPr>
        <w:t>83,0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3D11C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FB6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EE756E">
        <w:rPr>
          <w:rFonts w:ascii="Times New Roman" w:hAnsi="Times New Roman"/>
          <w:sz w:val="28"/>
          <w:szCs w:val="28"/>
        </w:rPr>
        <w:t xml:space="preserve"> </w:t>
      </w:r>
      <w:r w:rsidR="00E9387F">
        <w:rPr>
          <w:rFonts w:ascii="Times New Roman" w:hAnsi="Times New Roman"/>
          <w:sz w:val="28"/>
          <w:szCs w:val="28"/>
        </w:rPr>
        <w:t>1054,1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E9387F">
        <w:rPr>
          <w:rFonts w:ascii="Times New Roman" w:hAnsi="Times New Roman"/>
          <w:sz w:val="28"/>
          <w:szCs w:val="28"/>
        </w:rPr>
        <w:t>24,6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EE756E">
        <w:rPr>
          <w:rFonts w:ascii="Times New Roman" w:hAnsi="Times New Roman"/>
          <w:sz w:val="28"/>
          <w:szCs w:val="28"/>
        </w:rPr>
        <w:t xml:space="preserve"> </w:t>
      </w:r>
      <w:r w:rsidR="00E9387F">
        <w:rPr>
          <w:rFonts w:ascii="Times New Roman" w:hAnsi="Times New Roman"/>
          <w:sz w:val="28"/>
          <w:szCs w:val="28"/>
        </w:rPr>
        <w:t>4374,0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E9387F">
        <w:rPr>
          <w:rFonts w:ascii="Times New Roman" w:hAnsi="Times New Roman"/>
          <w:sz w:val="28"/>
          <w:szCs w:val="28"/>
        </w:rPr>
        <w:t>21,5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E9387F">
        <w:rPr>
          <w:rFonts w:ascii="Times New Roman" w:hAnsi="Times New Roman"/>
          <w:sz w:val="28"/>
          <w:szCs w:val="28"/>
        </w:rPr>
        <w:t>про</w:t>
      </w:r>
      <w:r w:rsidRPr="006E64B1">
        <w:rPr>
          <w:rFonts w:ascii="Times New Roman" w:hAnsi="Times New Roman"/>
          <w:sz w:val="28"/>
          <w:szCs w:val="28"/>
        </w:rPr>
        <w:t>фицит бюджета составил</w:t>
      </w:r>
      <w:r w:rsidR="00A85280">
        <w:rPr>
          <w:rFonts w:ascii="Times New Roman" w:hAnsi="Times New Roman"/>
          <w:sz w:val="28"/>
          <w:szCs w:val="28"/>
        </w:rPr>
        <w:t xml:space="preserve"> </w:t>
      </w:r>
      <w:r w:rsidR="00E9387F">
        <w:rPr>
          <w:rFonts w:ascii="Times New Roman" w:hAnsi="Times New Roman"/>
          <w:sz w:val="28"/>
          <w:szCs w:val="28"/>
        </w:rPr>
        <w:t xml:space="preserve"> 113,0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815C24" w:rsidRPr="00815C24" w:rsidRDefault="00E9387F" w:rsidP="00815C2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C07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5C24" w:rsidRPr="00815C24">
        <w:rPr>
          <w:rFonts w:ascii="Times New Roman" w:eastAsia="Times New Roman" w:hAnsi="Times New Roman" w:cs="Times New Roman"/>
          <w:sz w:val="28"/>
          <w:szCs w:val="28"/>
        </w:rPr>
        <w:t xml:space="preserve">Отчет подготовлен в рамках полномочий администрации </w:t>
      </w:r>
      <w:proofErr w:type="spellStart"/>
      <w:r w:rsidR="00815C24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="00815C24" w:rsidRPr="00815C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не противоречит действующему законодательству и муниципальным правовым актам </w:t>
      </w:r>
      <w:proofErr w:type="spellStart"/>
      <w:r w:rsidR="00815C24">
        <w:rPr>
          <w:rFonts w:ascii="Times New Roman" w:eastAsia="Times New Roman" w:hAnsi="Times New Roman" w:cs="Times New Roman"/>
          <w:sz w:val="28"/>
          <w:szCs w:val="28"/>
        </w:rPr>
        <w:t>Лопазненского</w:t>
      </w:r>
      <w:proofErr w:type="spellEnd"/>
      <w:r w:rsidR="00815C24" w:rsidRPr="00815C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="00815C24" w:rsidRPr="00815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 же удовлетворяет требованиям полноты отражения средств бюджета по доходам</w:t>
      </w: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AD2E03">
        <w:rPr>
          <w:rFonts w:ascii="Times New Roman" w:hAnsi="Times New Roman"/>
          <w:sz w:val="28"/>
          <w:szCs w:val="28"/>
        </w:rPr>
        <w:t>Лопазненской</w:t>
      </w:r>
      <w:proofErr w:type="spellEnd"/>
      <w:r w:rsidR="00AD2E03">
        <w:rPr>
          <w:rFonts w:ascii="Times New Roman" w:hAnsi="Times New Roman"/>
          <w:sz w:val="28"/>
          <w:szCs w:val="28"/>
        </w:rPr>
        <w:t xml:space="preserve">  сельской </w:t>
      </w:r>
      <w:r w:rsidR="00DC79CF">
        <w:rPr>
          <w:rFonts w:ascii="Times New Roman" w:hAnsi="Times New Roman"/>
          <w:sz w:val="28"/>
          <w:szCs w:val="28"/>
        </w:rPr>
        <w:t>администрации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2E5354" w:rsidRDefault="00281836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281836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28183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5354">
        <w:rPr>
          <w:rFonts w:ascii="Times New Roman" w:eastAsia="Times New Roman" w:hAnsi="Times New Roman" w:cs="Times New Roman"/>
          <w:sz w:val="28"/>
          <w:szCs w:val="28"/>
        </w:rPr>
        <w:t>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20E17"/>
    <w:rsid w:val="000241B8"/>
    <w:rsid w:val="00032824"/>
    <w:rsid w:val="00034FF1"/>
    <w:rsid w:val="00053102"/>
    <w:rsid w:val="00057D42"/>
    <w:rsid w:val="00075DF2"/>
    <w:rsid w:val="00075EC4"/>
    <w:rsid w:val="00077E13"/>
    <w:rsid w:val="0008164A"/>
    <w:rsid w:val="000826B9"/>
    <w:rsid w:val="00084044"/>
    <w:rsid w:val="0009072C"/>
    <w:rsid w:val="00097149"/>
    <w:rsid w:val="000B6FF9"/>
    <w:rsid w:val="000C30E9"/>
    <w:rsid w:val="000C3E44"/>
    <w:rsid w:val="000D1C4C"/>
    <w:rsid w:val="000D6D74"/>
    <w:rsid w:val="000D6F4E"/>
    <w:rsid w:val="000E0C5F"/>
    <w:rsid w:val="000F2B47"/>
    <w:rsid w:val="000F7733"/>
    <w:rsid w:val="0010508A"/>
    <w:rsid w:val="00112C0C"/>
    <w:rsid w:val="001134AD"/>
    <w:rsid w:val="00116234"/>
    <w:rsid w:val="001310FA"/>
    <w:rsid w:val="00152235"/>
    <w:rsid w:val="00155B06"/>
    <w:rsid w:val="00164184"/>
    <w:rsid w:val="001732DD"/>
    <w:rsid w:val="001752ED"/>
    <w:rsid w:val="001766B2"/>
    <w:rsid w:val="001A2C4A"/>
    <w:rsid w:val="001A2DB7"/>
    <w:rsid w:val="001A58FF"/>
    <w:rsid w:val="001B0708"/>
    <w:rsid w:val="001B60B8"/>
    <w:rsid w:val="001C3251"/>
    <w:rsid w:val="001C3732"/>
    <w:rsid w:val="001C3A87"/>
    <w:rsid w:val="001C6D91"/>
    <w:rsid w:val="001D1CD6"/>
    <w:rsid w:val="001D31F7"/>
    <w:rsid w:val="001D3FF8"/>
    <w:rsid w:val="001D6A30"/>
    <w:rsid w:val="001E2449"/>
    <w:rsid w:val="001F451C"/>
    <w:rsid w:val="00200844"/>
    <w:rsid w:val="00205780"/>
    <w:rsid w:val="0020706C"/>
    <w:rsid w:val="00213A66"/>
    <w:rsid w:val="002145BB"/>
    <w:rsid w:val="00221F0A"/>
    <w:rsid w:val="00223DC1"/>
    <w:rsid w:val="00230C69"/>
    <w:rsid w:val="00232437"/>
    <w:rsid w:val="0023431C"/>
    <w:rsid w:val="00246B77"/>
    <w:rsid w:val="00247910"/>
    <w:rsid w:val="00250D92"/>
    <w:rsid w:val="002546D1"/>
    <w:rsid w:val="002555C4"/>
    <w:rsid w:val="00257DE4"/>
    <w:rsid w:val="00274DAB"/>
    <w:rsid w:val="00281836"/>
    <w:rsid w:val="00284D64"/>
    <w:rsid w:val="00290AF8"/>
    <w:rsid w:val="00293CEE"/>
    <w:rsid w:val="00297925"/>
    <w:rsid w:val="002A4E8C"/>
    <w:rsid w:val="002A7106"/>
    <w:rsid w:val="002C102C"/>
    <w:rsid w:val="002C19A1"/>
    <w:rsid w:val="002C6BD8"/>
    <w:rsid w:val="002E5354"/>
    <w:rsid w:val="002E6804"/>
    <w:rsid w:val="002E7056"/>
    <w:rsid w:val="00311D25"/>
    <w:rsid w:val="00317BDD"/>
    <w:rsid w:val="00323EE8"/>
    <w:rsid w:val="003266EE"/>
    <w:rsid w:val="00327E8C"/>
    <w:rsid w:val="00332E4B"/>
    <w:rsid w:val="00335D8E"/>
    <w:rsid w:val="003535C2"/>
    <w:rsid w:val="003930E0"/>
    <w:rsid w:val="003A031A"/>
    <w:rsid w:val="003A3A17"/>
    <w:rsid w:val="003A76A8"/>
    <w:rsid w:val="003B18EC"/>
    <w:rsid w:val="003C46DA"/>
    <w:rsid w:val="003C730A"/>
    <w:rsid w:val="003C7D41"/>
    <w:rsid w:val="003D11C6"/>
    <w:rsid w:val="003D27F7"/>
    <w:rsid w:val="003F4FDD"/>
    <w:rsid w:val="003F7815"/>
    <w:rsid w:val="00401A61"/>
    <w:rsid w:val="004023DF"/>
    <w:rsid w:val="00403855"/>
    <w:rsid w:val="00406641"/>
    <w:rsid w:val="0041001D"/>
    <w:rsid w:val="00423084"/>
    <w:rsid w:val="004378D4"/>
    <w:rsid w:val="00442009"/>
    <w:rsid w:val="004521E3"/>
    <w:rsid w:val="00454B40"/>
    <w:rsid w:val="004807C2"/>
    <w:rsid w:val="004903F7"/>
    <w:rsid w:val="00496267"/>
    <w:rsid w:val="004A6F7A"/>
    <w:rsid w:val="004B0A8A"/>
    <w:rsid w:val="004D2E6B"/>
    <w:rsid w:val="004E49C9"/>
    <w:rsid w:val="004E4E96"/>
    <w:rsid w:val="004E60D1"/>
    <w:rsid w:val="004F2A7F"/>
    <w:rsid w:val="00504353"/>
    <w:rsid w:val="005061C7"/>
    <w:rsid w:val="0051219C"/>
    <w:rsid w:val="00521D9A"/>
    <w:rsid w:val="00527A56"/>
    <w:rsid w:val="00531D37"/>
    <w:rsid w:val="00541651"/>
    <w:rsid w:val="005634CD"/>
    <w:rsid w:val="0057031D"/>
    <w:rsid w:val="00575F24"/>
    <w:rsid w:val="0058610B"/>
    <w:rsid w:val="005922CA"/>
    <w:rsid w:val="005925CC"/>
    <w:rsid w:val="005978F1"/>
    <w:rsid w:val="005A7EFB"/>
    <w:rsid w:val="005B4E84"/>
    <w:rsid w:val="005B62D9"/>
    <w:rsid w:val="005C2A21"/>
    <w:rsid w:val="005C56B5"/>
    <w:rsid w:val="005D7ACD"/>
    <w:rsid w:val="005E05CB"/>
    <w:rsid w:val="005F0E13"/>
    <w:rsid w:val="005F31BF"/>
    <w:rsid w:val="005F5D7D"/>
    <w:rsid w:val="005F6B34"/>
    <w:rsid w:val="00600D56"/>
    <w:rsid w:val="00600DD7"/>
    <w:rsid w:val="00610458"/>
    <w:rsid w:val="00612290"/>
    <w:rsid w:val="00612B4D"/>
    <w:rsid w:val="00640C81"/>
    <w:rsid w:val="00646C2D"/>
    <w:rsid w:val="006550E1"/>
    <w:rsid w:val="0066306B"/>
    <w:rsid w:val="006750CA"/>
    <w:rsid w:val="00687F88"/>
    <w:rsid w:val="00690B61"/>
    <w:rsid w:val="0069316B"/>
    <w:rsid w:val="006A454D"/>
    <w:rsid w:val="006A58E3"/>
    <w:rsid w:val="006C3C6A"/>
    <w:rsid w:val="006D184F"/>
    <w:rsid w:val="006D6899"/>
    <w:rsid w:val="006D7595"/>
    <w:rsid w:val="006E42C3"/>
    <w:rsid w:val="006E64B1"/>
    <w:rsid w:val="006F04D8"/>
    <w:rsid w:val="006F0BA6"/>
    <w:rsid w:val="006F3432"/>
    <w:rsid w:val="00704827"/>
    <w:rsid w:val="00706985"/>
    <w:rsid w:val="00706C2B"/>
    <w:rsid w:val="00721F1D"/>
    <w:rsid w:val="00735FF7"/>
    <w:rsid w:val="00744F82"/>
    <w:rsid w:val="00745C67"/>
    <w:rsid w:val="00757554"/>
    <w:rsid w:val="007751C3"/>
    <w:rsid w:val="007765F4"/>
    <w:rsid w:val="0078003F"/>
    <w:rsid w:val="00785C18"/>
    <w:rsid w:val="00796FA2"/>
    <w:rsid w:val="007A360D"/>
    <w:rsid w:val="007B53DD"/>
    <w:rsid w:val="007B6625"/>
    <w:rsid w:val="007C07EA"/>
    <w:rsid w:val="007C1628"/>
    <w:rsid w:val="007C1ABC"/>
    <w:rsid w:val="007D621B"/>
    <w:rsid w:val="007E084F"/>
    <w:rsid w:val="007E1244"/>
    <w:rsid w:val="007E18C4"/>
    <w:rsid w:val="007E6603"/>
    <w:rsid w:val="00800F7C"/>
    <w:rsid w:val="008123AF"/>
    <w:rsid w:val="00815C24"/>
    <w:rsid w:val="008165E2"/>
    <w:rsid w:val="008213CC"/>
    <w:rsid w:val="00823C3A"/>
    <w:rsid w:val="00824032"/>
    <w:rsid w:val="0083054F"/>
    <w:rsid w:val="0084732A"/>
    <w:rsid w:val="008512CD"/>
    <w:rsid w:val="0086589F"/>
    <w:rsid w:val="008711CC"/>
    <w:rsid w:val="00873E87"/>
    <w:rsid w:val="00875A68"/>
    <w:rsid w:val="0087670E"/>
    <w:rsid w:val="008830F7"/>
    <w:rsid w:val="00894B2D"/>
    <w:rsid w:val="008A4D4C"/>
    <w:rsid w:val="008A4FED"/>
    <w:rsid w:val="008C01F6"/>
    <w:rsid w:val="008C0F39"/>
    <w:rsid w:val="008C34BC"/>
    <w:rsid w:val="008C34D2"/>
    <w:rsid w:val="008D74F0"/>
    <w:rsid w:val="008E3097"/>
    <w:rsid w:val="008E30C7"/>
    <w:rsid w:val="008E48F0"/>
    <w:rsid w:val="008E5704"/>
    <w:rsid w:val="009002FD"/>
    <w:rsid w:val="00900A3F"/>
    <w:rsid w:val="00900BF3"/>
    <w:rsid w:val="00911787"/>
    <w:rsid w:val="009139E3"/>
    <w:rsid w:val="0092570B"/>
    <w:rsid w:val="00927085"/>
    <w:rsid w:val="009377AB"/>
    <w:rsid w:val="0094335B"/>
    <w:rsid w:val="009447C4"/>
    <w:rsid w:val="009540C7"/>
    <w:rsid w:val="00961CF2"/>
    <w:rsid w:val="009659A1"/>
    <w:rsid w:val="009663BC"/>
    <w:rsid w:val="00973645"/>
    <w:rsid w:val="00976E08"/>
    <w:rsid w:val="0098341C"/>
    <w:rsid w:val="0098755D"/>
    <w:rsid w:val="00995E64"/>
    <w:rsid w:val="00996D1A"/>
    <w:rsid w:val="0099732F"/>
    <w:rsid w:val="009A1CC9"/>
    <w:rsid w:val="009B4461"/>
    <w:rsid w:val="009B64D1"/>
    <w:rsid w:val="009B714B"/>
    <w:rsid w:val="009C15AE"/>
    <w:rsid w:val="009C2C13"/>
    <w:rsid w:val="009D2D56"/>
    <w:rsid w:val="009D3DC9"/>
    <w:rsid w:val="009D45DA"/>
    <w:rsid w:val="009D5A08"/>
    <w:rsid w:val="009E137E"/>
    <w:rsid w:val="009E231D"/>
    <w:rsid w:val="009F0BF8"/>
    <w:rsid w:val="009F23F2"/>
    <w:rsid w:val="009F6E7F"/>
    <w:rsid w:val="00A0496A"/>
    <w:rsid w:val="00A13580"/>
    <w:rsid w:val="00A244BE"/>
    <w:rsid w:val="00A259E5"/>
    <w:rsid w:val="00A26F95"/>
    <w:rsid w:val="00A32FD2"/>
    <w:rsid w:val="00A37D61"/>
    <w:rsid w:val="00A4461C"/>
    <w:rsid w:val="00A8091D"/>
    <w:rsid w:val="00A817C1"/>
    <w:rsid w:val="00A85280"/>
    <w:rsid w:val="00A918E7"/>
    <w:rsid w:val="00A93225"/>
    <w:rsid w:val="00A94632"/>
    <w:rsid w:val="00AA1AA0"/>
    <w:rsid w:val="00AA1F7D"/>
    <w:rsid w:val="00AB49EC"/>
    <w:rsid w:val="00AB5208"/>
    <w:rsid w:val="00AC0701"/>
    <w:rsid w:val="00AC2C1E"/>
    <w:rsid w:val="00AD0730"/>
    <w:rsid w:val="00AD21C8"/>
    <w:rsid w:val="00AD2E03"/>
    <w:rsid w:val="00AD54C7"/>
    <w:rsid w:val="00AD7B9A"/>
    <w:rsid w:val="00AE35FE"/>
    <w:rsid w:val="00AE68C1"/>
    <w:rsid w:val="00B15D86"/>
    <w:rsid w:val="00B23D43"/>
    <w:rsid w:val="00B32E27"/>
    <w:rsid w:val="00B35ED3"/>
    <w:rsid w:val="00B41646"/>
    <w:rsid w:val="00B428B9"/>
    <w:rsid w:val="00B470B5"/>
    <w:rsid w:val="00B50236"/>
    <w:rsid w:val="00B52776"/>
    <w:rsid w:val="00B60480"/>
    <w:rsid w:val="00B66EDF"/>
    <w:rsid w:val="00B67C72"/>
    <w:rsid w:val="00B71988"/>
    <w:rsid w:val="00B847FB"/>
    <w:rsid w:val="00B902C9"/>
    <w:rsid w:val="00B91EAB"/>
    <w:rsid w:val="00B94D2A"/>
    <w:rsid w:val="00BA510A"/>
    <w:rsid w:val="00BA7B8B"/>
    <w:rsid w:val="00BB00BC"/>
    <w:rsid w:val="00BB4A75"/>
    <w:rsid w:val="00BD16C8"/>
    <w:rsid w:val="00BE2903"/>
    <w:rsid w:val="00BE524C"/>
    <w:rsid w:val="00BF3AF0"/>
    <w:rsid w:val="00C03CA7"/>
    <w:rsid w:val="00C108E4"/>
    <w:rsid w:val="00C20292"/>
    <w:rsid w:val="00C3688E"/>
    <w:rsid w:val="00C41D5E"/>
    <w:rsid w:val="00C4507A"/>
    <w:rsid w:val="00C4565C"/>
    <w:rsid w:val="00C52F5A"/>
    <w:rsid w:val="00C7473C"/>
    <w:rsid w:val="00C82396"/>
    <w:rsid w:val="00C851EE"/>
    <w:rsid w:val="00C8563A"/>
    <w:rsid w:val="00C903B5"/>
    <w:rsid w:val="00C90AF2"/>
    <w:rsid w:val="00CB471E"/>
    <w:rsid w:val="00CC0550"/>
    <w:rsid w:val="00CC2029"/>
    <w:rsid w:val="00CD54B3"/>
    <w:rsid w:val="00CE2EEA"/>
    <w:rsid w:val="00CE3A7B"/>
    <w:rsid w:val="00CE5A6A"/>
    <w:rsid w:val="00CF0A3B"/>
    <w:rsid w:val="00D22E74"/>
    <w:rsid w:val="00D301BD"/>
    <w:rsid w:val="00D36045"/>
    <w:rsid w:val="00D45A3D"/>
    <w:rsid w:val="00D47B01"/>
    <w:rsid w:val="00D53BAD"/>
    <w:rsid w:val="00D53F7F"/>
    <w:rsid w:val="00D55668"/>
    <w:rsid w:val="00D60E06"/>
    <w:rsid w:val="00D61278"/>
    <w:rsid w:val="00D6153E"/>
    <w:rsid w:val="00D63357"/>
    <w:rsid w:val="00D65E49"/>
    <w:rsid w:val="00D7005B"/>
    <w:rsid w:val="00D70B09"/>
    <w:rsid w:val="00D92B5F"/>
    <w:rsid w:val="00DA26AA"/>
    <w:rsid w:val="00DA6B6D"/>
    <w:rsid w:val="00DC79CF"/>
    <w:rsid w:val="00DD0D9F"/>
    <w:rsid w:val="00DD0DC0"/>
    <w:rsid w:val="00DD1C8F"/>
    <w:rsid w:val="00DD2EDC"/>
    <w:rsid w:val="00DD5F39"/>
    <w:rsid w:val="00DD7915"/>
    <w:rsid w:val="00DE053B"/>
    <w:rsid w:val="00DE3E30"/>
    <w:rsid w:val="00DF0D32"/>
    <w:rsid w:val="00DF0D57"/>
    <w:rsid w:val="00DF55A8"/>
    <w:rsid w:val="00DF561B"/>
    <w:rsid w:val="00E02BE5"/>
    <w:rsid w:val="00E23A5C"/>
    <w:rsid w:val="00E24258"/>
    <w:rsid w:val="00E25DAF"/>
    <w:rsid w:val="00E324D2"/>
    <w:rsid w:val="00E334E6"/>
    <w:rsid w:val="00E41EF6"/>
    <w:rsid w:val="00E62BD3"/>
    <w:rsid w:val="00E67D55"/>
    <w:rsid w:val="00E73119"/>
    <w:rsid w:val="00E806F6"/>
    <w:rsid w:val="00E865F5"/>
    <w:rsid w:val="00E87EB6"/>
    <w:rsid w:val="00E926C2"/>
    <w:rsid w:val="00E92C93"/>
    <w:rsid w:val="00E9387F"/>
    <w:rsid w:val="00EC0EFD"/>
    <w:rsid w:val="00EC3778"/>
    <w:rsid w:val="00EC51B4"/>
    <w:rsid w:val="00EC65F1"/>
    <w:rsid w:val="00ED5032"/>
    <w:rsid w:val="00EE756E"/>
    <w:rsid w:val="00EF6682"/>
    <w:rsid w:val="00F11809"/>
    <w:rsid w:val="00F20380"/>
    <w:rsid w:val="00F20E31"/>
    <w:rsid w:val="00F248E5"/>
    <w:rsid w:val="00F32C11"/>
    <w:rsid w:val="00F33352"/>
    <w:rsid w:val="00F56247"/>
    <w:rsid w:val="00F63CF7"/>
    <w:rsid w:val="00F65D48"/>
    <w:rsid w:val="00F75EDE"/>
    <w:rsid w:val="00F93AA4"/>
    <w:rsid w:val="00FA559F"/>
    <w:rsid w:val="00FB1174"/>
    <w:rsid w:val="00FB400B"/>
    <w:rsid w:val="00FB6D84"/>
    <w:rsid w:val="00FC549E"/>
    <w:rsid w:val="00FD17BA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1F2D-47EF-4DA3-843D-9580160D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8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433</cp:revision>
  <dcterms:created xsi:type="dcterms:W3CDTF">2018-04-16T10:39:00Z</dcterms:created>
  <dcterms:modified xsi:type="dcterms:W3CDTF">2025-06-17T14:17:00Z</dcterms:modified>
</cp:coreProperties>
</file>