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66" w:rsidRPr="00EC5966" w:rsidRDefault="00EC5966" w:rsidP="00FA0BC2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E849491" wp14:editId="4F4469D3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966" w:rsidRPr="00EC5966" w:rsidRDefault="00EC5966" w:rsidP="00EC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EC5966" w:rsidRPr="00EC5966" w:rsidRDefault="00EC5966" w:rsidP="00EC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EC5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EC5966" w:rsidRPr="00EC5966" w:rsidRDefault="00EC5966" w:rsidP="00EC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EC5966" w:rsidRPr="00EC5966" w:rsidRDefault="00EC5966" w:rsidP="00E00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Контрольно-счетной палаты Суражского муниципального района</w:t>
      </w:r>
      <w:r w:rsidR="00E00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проект решения «О бюджете </w:t>
      </w:r>
      <w:r w:rsidR="00B637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городского поселения  Суражского муниципального района Брянской области </w:t>
      </w:r>
      <w:r w:rsidR="0011415C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0052D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141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052D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141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0052D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141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C50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C5966" w:rsidRPr="00EC5966" w:rsidRDefault="00EC5966" w:rsidP="00E00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5966" w:rsidRPr="00EC5966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г. Сураж                                                                                        </w:t>
      </w:r>
      <w:r w:rsidR="00EF37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612C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53E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003A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700C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7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EC5966" w:rsidRPr="00EC5966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5966" w:rsidRPr="00B13D85" w:rsidRDefault="00EC5966" w:rsidP="00EC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C5966" w:rsidRPr="005E7E9C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</w:t>
      </w:r>
      <w:r w:rsidR="00AC50EA" w:rsidRPr="00AC50EA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городского поселения  Суражского муниципального района Брянской области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AC50EA" w:rsidRPr="00AC50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7E9C">
        <w:rPr>
          <w:rFonts w:ascii="Times New Roman" w:eastAsia="Times New Roman" w:hAnsi="Times New Roman" w:cs="Times New Roman"/>
          <w:sz w:val="24"/>
          <w:szCs w:val="24"/>
        </w:rPr>
        <w:t xml:space="preserve"> подготовлено в соответствии с Бюджетным Кодексом Российской Федерации, Положением «О Контрольно-счетной палате Суражского муниципального района», 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>пунктом 1.1.</w:t>
      </w:r>
      <w:r w:rsidR="00AB57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Контрольно-счетной палаты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73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</w:t>
      </w:r>
      <w:r w:rsidR="00B3730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E95B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73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E9C" w:rsidRPr="005E7E9C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5E7E9C">
        <w:rPr>
          <w:rFonts w:ascii="Times New Roman" w:eastAsia="Times New Roman" w:hAnsi="Times New Roman" w:cs="Times New Roman"/>
          <w:sz w:val="24"/>
          <w:szCs w:val="24"/>
        </w:rPr>
        <w:t>иными</w:t>
      </w:r>
      <w:proofErr w:type="gramEnd"/>
      <w:r w:rsidRPr="005E7E9C">
        <w:rPr>
          <w:rFonts w:ascii="Times New Roman" w:eastAsia="Times New Roman" w:hAnsi="Times New Roman" w:cs="Times New Roman"/>
          <w:sz w:val="24"/>
          <w:szCs w:val="24"/>
        </w:rPr>
        <w:t xml:space="preserve"> актами законодательства Российской Федерации и органов местного самоуправления.</w:t>
      </w:r>
    </w:p>
    <w:p w:rsidR="00EC5966" w:rsidRPr="00B13D85" w:rsidRDefault="00EC5966" w:rsidP="00EC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r w:rsidR="009C2D06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EC5966" w:rsidRPr="00B13D85" w:rsidRDefault="00EC5966" w:rsidP="00EC5966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B13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B13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EC5966" w:rsidRPr="00B13D85" w:rsidRDefault="00EC5966" w:rsidP="00EC5966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5852A2" w:rsidRPr="002B2003" w:rsidRDefault="00EC5966" w:rsidP="009C0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9C2D06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разработан </w:t>
      </w:r>
      <w:r w:rsidR="0011415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2025 год и плановый период 2026-2027 </w:t>
      </w:r>
      <w:r w:rsidR="0011415C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установленному периоду в части 1 статьи 173 Бюджетного кодекса Российской Федерации.  </w:t>
      </w:r>
      <w:proofErr w:type="gramStart"/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9C2D06" w:rsidRPr="002B2003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="00FF7D28" w:rsidRPr="002B2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(далее -  Прогноз) разработан в </w:t>
      </w:r>
      <w:hyperlink r:id="rId8" w:history="1">
        <w:r w:rsidRPr="002B20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порядке</w:t>
        </w:r>
      </w:hyperlink>
      <w:r w:rsidRPr="002B2003">
        <w:rPr>
          <w:rFonts w:ascii="Times New Roman" w:eastAsia="Times New Roman" w:hAnsi="Times New Roman" w:cs="Times New Roman"/>
          <w:sz w:val="24"/>
          <w:szCs w:val="24"/>
        </w:rPr>
        <w:t>, установленном постановлением Администрации  Суражского района от 21.07.2016 г. №</w:t>
      </w:r>
      <w:r w:rsidR="009A56C2" w:rsidRPr="002B2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710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r w:rsidR="009C2D06" w:rsidRPr="002B2003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на среднесрочный и долгосрочный период»</w:t>
      </w:r>
      <w:r w:rsidR="00EF393B" w:rsidRPr="002B2003">
        <w:rPr>
          <w:rFonts w:ascii="Times New Roman" w:eastAsia="Times New Roman" w:hAnsi="Times New Roman" w:cs="Times New Roman"/>
          <w:sz w:val="24"/>
          <w:szCs w:val="24"/>
        </w:rPr>
        <w:t xml:space="preserve">, утвержден постановлением администрации Суражского района от </w:t>
      </w:r>
      <w:r w:rsidR="00015DFA" w:rsidRPr="002B2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393B" w:rsidRPr="002B2003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393B"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E438CB" w:rsidRPr="002B2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1179</w:t>
      </w:r>
      <w:r w:rsidR="00EF393B" w:rsidRPr="002B20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852A2" w:rsidRPr="002B2003">
        <w:rPr>
          <w:rFonts w:ascii="Times New Roman" w:eastAsia="Times New Roman" w:hAnsi="Times New Roman" w:cs="Times New Roman"/>
          <w:sz w:val="24"/>
          <w:szCs w:val="24"/>
        </w:rPr>
        <w:t xml:space="preserve">О прогнозе социально-экономического развития </w:t>
      </w:r>
      <w:r w:rsidR="009C2D06" w:rsidRPr="002B2003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="005852A2" w:rsidRPr="002B2003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 на </w:t>
      </w:r>
      <w:r w:rsidR="005003A4" w:rsidRPr="002B2003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>5</w:t>
      </w:r>
      <w:r w:rsidR="005852A2" w:rsidRPr="002B2003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 год</w:t>
      </w:r>
      <w:proofErr w:type="gramEnd"/>
      <w:r w:rsidR="00EF393B" w:rsidRPr="002B2003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 </w:t>
      </w:r>
      <w:r w:rsidR="005852A2" w:rsidRPr="002B200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44568" w:rsidRPr="002B2003">
        <w:rPr>
          <w:rFonts w:ascii="Times New Roman" w:eastAsia="Times New Roman" w:hAnsi="Times New Roman" w:cs="Times New Roman"/>
          <w:sz w:val="24"/>
          <w:szCs w:val="24"/>
        </w:rPr>
        <w:t>на период до 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4568"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F393B" w:rsidRPr="002B20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C3627" w:rsidRPr="002B2003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Суражского городского поселения Суражского муниципального района Брянской области на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 и </w:t>
      </w:r>
      <w:r w:rsidR="00844568" w:rsidRPr="002B2003">
        <w:rPr>
          <w:rFonts w:ascii="Times New Roman" w:eastAsia="Times New Roman" w:hAnsi="Times New Roman" w:cs="Times New Roman"/>
          <w:sz w:val="24"/>
          <w:szCs w:val="24"/>
        </w:rPr>
        <w:t>на период до 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4568"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 анализа динамики ситуации в экономической и социальной сфере города, сценарных условий и основных макроэкономических параметров прогноза социально-экономического развития Российской Федерации на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годов с учетом эффекта от реализации антикризисных</w:t>
      </w:r>
      <w:proofErr w:type="gramEnd"/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мер, направленных на повышение устойчивости и оздоровление экономики города Суража.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города на </w:t>
      </w:r>
      <w:r w:rsidR="005003A4" w:rsidRPr="002B20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2003">
        <w:rPr>
          <w:rFonts w:ascii="Times New Roman" w:eastAsia="Times New Roman" w:hAnsi="Times New Roman" w:cs="Times New Roman"/>
          <w:sz w:val="24"/>
          <w:szCs w:val="24"/>
        </w:rPr>
        <w:t xml:space="preserve"> год и параметров прогноза экономики</w:t>
      </w:r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города до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24F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проводилась по двум вариантам, с учетом перспектив восстановления роста экономики, а также проводимой государственной политики.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Консервативный вариант рассматривает сценарий в условиях более низкой динамики цен на нефть и природный газ. 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>Базовый вариант характеризует возможности экономики в условиях сохранения консервативных тенденций изменения внешних факторов при сохранении консервативной бюджетной политики.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>Базовый вариант рассматривается в качестве основного сценария развития экономики и служит базой для формирования прогноза социально-экономического развития Суражского городского поселения Суражского муниципального района Брянской области.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>Поскольку экономика города является составной частью общероссийской, и в среднесрочной перспективе для ее развития будут характерны общие процессы, при разработке данного прогноза использована динамика индексов-дефляторов, рекомендованная Минэкономразвития России.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>В целом, экономическая деятельность города Суража складывается из отраслей промышленности и потребительского рынка.</w:t>
      </w:r>
    </w:p>
    <w:p w:rsidR="006C3627" w:rsidRP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627">
        <w:rPr>
          <w:rFonts w:ascii="Times New Roman" w:eastAsia="Times New Roman" w:hAnsi="Times New Roman" w:cs="Times New Roman"/>
          <w:sz w:val="24"/>
          <w:szCs w:val="24"/>
        </w:rPr>
        <w:t>Суражское</w:t>
      </w:r>
      <w:proofErr w:type="spellEnd"/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3627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proofErr w:type="gramEnd"/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поселения Суражского муниципального района Брянской области наделено статусом </w:t>
      </w:r>
      <w:proofErr w:type="spellStart"/>
      <w:r w:rsidRPr="006C3627">
        <w:rPr>
          <w:rFonts w:ascii="Times New Roman" w:eastAsia="Times New Roman" w:hAnsi="Times New Roman" w:cs="Times New Roman"/>
          <w:sz w:val="24"/>
          <w:szCs w:val="24"/>
        </w:rPr>
        <w:t>монопрофильного</w:t>
      </w:r>
      <w:proofErr w:type="spellEnd"/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распоряжением Правительства РФ от 29.07.2014 года № 1398-р «О Перечне </w:t>
      </w:r>
      <w:proofErr w:type="spellStart"/>
      <w:r w:rsidRPr="006C3627">
        <w:rPr>
          <w:rFonts w:ascii="Times New Roman" w:eastAsia="Times New Roman" w:hAnsi="Times New Roman" w:cs="Times New Roman"/>
          <w:sz w:val="24"/>
          <w:szCs w:val="24"/>
        </w:rPr>
        <w:t>монопрофильных</w:t>
      </w:r>
      <w:proofErr w:type="spellEnd"/>
      <w:r w:rsidRPr="006C36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образований РФ (моногородов)». </w:t>
      </w:r>
    </w:p>
    <w:p w:rsidR="006C3627" w:rsidRDefault="006C3627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27">
        <w:rPr>
          <w:rFonts w:ascii="Times New Roman" w:eastAsia="Times New Roman" w:hAnsi="Times New Roman" w:cs="Times New Roman"/>
          <w:sz w:val="24"/>
          <w:szCs w:val="24"/>
        </w:rPr>
        <w:t>Органами местной власти принимаются меры, направленные на снижение влияния деятельности АО «Пролетарий» на состояние экономики моногорода. В общем объеме прибыли прибыльных организаций промышленности на градообразующее предприятие приходится 8</w:t>
      </w:r>
      <w:r w:rsidR="002B2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77BF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6C362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C5966" w:rsidRDefault="00EC5966" w:rsidP="006C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города. В целом она не получит существенных изменений и продолжится тенденция сокращения населения.</w:t>
      </w:r>
    </w:p>
    <w:p w:rsidR="00EC5966" w:rsidRPr="00B13D85" w:rsidRDefault="00EC5966" w:rsidP="00EC59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показатели демографической ситуации</w:t>
      </w:r>
    </w:p>
    <w:p w:rsidR="00EC5966" w:rsidRPr="00B13D85" w:rsidRDefault="00EC5966" w:rsidP="00EC596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9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785"/>
        <w:gridCol w:w="712"/>
        <w:gridCol w:w="731"/>
        <w:gridCol w:w="810"/>
        <w:gridCol w:w="647"/>
        <w:gridCol w:w="709"/>
        <w:gridCol w:w="689"/>
      </w:tblGrid>
      <w:tr w:rsidR="00AF7448" w:rsidRPr="00B13D85" w:rsidTr="00147494"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Pr="00B13D85" w:rsidRDefault="00AF7448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 2019</w:t>
            </w:r>
          </w:p>
          <w:p w:rsidR="00AF7448" w:rsidRPr="00B13D85" w:rsidRDefault="00AF7448" w:rsidP="005A1396">
            <w:pPr>
              <w:tabs>
                <w:tab w:val="center" w:pos="43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361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AF7448" w:rsidRPr="00B13D85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</w:t>
            </w:r>
          </w:p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F7448" w:rsidRPr="00B13D85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F7448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</w:t>
            </w:r>
          </w:p>
          <w:p w:rsidR="00AF7448" w:rsidRPr="00B13D85" w:rsidRDefault="00AF7448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Pr="00B13D85" w:rsidRDefault="00AF7448" w:rsidP="00CE3F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тчет202</w:t>
            </w:r>
            <w:r w:rsidR="00CE3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F7448" w:rsidRDefault="00AF7448" w:rsidP="005E10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202</w:t>
            </w:r>
            <w:r w:rsidR="002D4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AF7448" w:rsidRPr="00B13D85" w:rsidRDefault="00AF7448" w:rsidP="005E10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0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Pr="00B13D85" w:rsidRDefault="00AF7448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AF7448" w:rsidRPr="00B13D85" w:rsidTr="00CE3F3A">
        <w:trPr>
          <w:trHeight w:val="559"/>
        </w:trPr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448" w:rsidRPr="00B13D85" w:rsidRDefault="00AF7448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F7448" w:rsidRDefault="00AF7448" w:rsidP="00B166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Default="00AF7448" w:rsidP="00B166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D4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F7448" w:rsidRPr="00B13D85" w:rsidRDefault="00AF7448" w:rsidP="00B166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Default="00AF7448" w:rsidP="00902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D4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AF7448" w:rsidRPr="00B13D85" w:rsidRDefault="00AF7448" w:rsidP="00902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48" w:rsidRDefault="00AF7448" w:rsidP="00902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D4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F7448" w:rsidRPr="00B13D85" w:rsidRDefault="00AF7448" w:rsidP="00902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CE3F3A" w:rsidRPr="00B13D85" w:rsidTr="0014749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Среднегодовая численность населения,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10546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10414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10995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Default="002D4B0E" w:rsidP="002D4B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10890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2D4B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D4B0E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2D4B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D4B0E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2D4B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D4B0E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CE3F3A" w:rsidRPr="00B13D85" w:rsidTr="0014749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родившихся,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0639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E3F3A" w:rsidRPr="00B13D85" w:rsidTr="0014749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умерших,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Default="00CE3F3A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134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134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134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CE3F3A" w:rsidRPr="00B13D85" w:rsidTr="0014749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  <w:proofErr w:type="gramStart"/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(-)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3F3A" w:rsidRPr="00B13D85" w:rsidRDefault="00CE3F3A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  <w:r w:rsidR="007413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F3A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3A" w:rsidRPr="00B13D85" w:rsidRDefault="00741341" w:rsidP="007413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 xml:space="preserve">Среднегодовая численность населения за 2023 год составила 10932 чел. или 99,4% к 2022 году. По оценке на 2024 г. данный показатель составит к предыдущему периоду 99,6 % или 10890 человека, по прогнозу к 2027 году численность городского населения сократиться до 10610 человек. </w:t>
      </w:r>
    </w:p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>Общий коэффициент рождаемости за 2023 год составил 6,9 человек на 1000 человек, по оценке в 2024 году данный показатель снизится до 5,5 человек на 1000 человек.</w:t>
      </w:r>
    </w:p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>Общий коэффициент смертности за 2023 год составил 14,8 человек на 1000 населения, по оценке в 2024 году – 16,1 человек на 1000 населения, по прогнозу в 2027 году – 14,6 человек на 1000 населения.</w:t>
      </w:r>
    </w:p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Коэффициент естественной убыли за 2023 год составил – 7,9 человек на 1000 населения, по оценке в 2024 году – 10,6 человек на 1000 населения, по прогнозу в 2027 году – 7,1 человек на 1000 населения, к уровням прошлых лет. </w:t>
      </w:r>
    </w:p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>Миграционный прирост (снижение) за 2023 год составил 21 человек, по оценке в 2024 году -19 человек, а в 2027 году миграционный прирост составит 20 человек.</w:t>
      </w:r>
    </w:p>
    <w:p w:rsidR="0028619A" w:rsidRPr="0028619A" w:rsidRDefault="0028619A" w:rsidP="0028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>На данном этапе повышение рождаемости является основным направлением,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численности.</w:t>
      </w:r>
    </w:p>
    <w:p w:rsidR="0028619A" w:rsidRDefault="0028619A" w:rsidP="00030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 xml:space="preserve"> Все позитивное, что делается в городе: обеспечение устойчивого роста доходов населения, улучшение жилищных условий граждан, обеспечение доступности и повышение качества медицинских услуг, защита материнства и детства – направлено, в конечном счете, на решение демографических проблем.</w:t>
      </w:r>
    </w:p>
    <w:p w:rsidR="0028619A" w:rsidRPr="0028619A" w:rsidRDefault="0028619A" w:rsidP="00030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 xml:space="preserve">Среднегодовая численность экономически активного населения в городе в среднесрочной перспективе останется практически на одном уровне и будет колебаться в пределах 5300 человек. Численность занятого населения в 2024 году – 2027 годах сохранится практически на одном уровне. </w:t>
      </w:r>
    </w:p>
    <w:p w:rsidR="0028619A" w:rsidRDefault="0028619A" w:rsidP="00030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9A">
        <w:rPr>
          <w:rFonts w:ascii="Times New Roman" w:eastAsia="Times New Roman" w:hAnsi="Times New Roman" w:cs="Times New Roman"/>
          <w:sz w:val="24"/>
          <w:szCs w:val="24"/>
        </w:rPr>
        <w:t>Из числа работающих на предприятиях и организациях города Суража, наибольший удельный вес составляют работающие в промышленности и в сфере потребительского рынка. В прогнозируемом периоде значительных изменений в отраслевой структуре занятости не произойдет.</w:t>
      </w:r>
    </w:p>
    <w:p w:rsidR="00EC5966" w:rsidRPr="00B13D85" w:rsidRDefault="00EC5966" w:rsidP="0028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показатели занятости населения</w:t>
      </w:r>
    </w:p>
    <w:p w:rsidR="00EC5966" w:rsidRPr="00B13D85" w:rsidRDefault="00EC5966" w:rsidP="00EC596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697"/>
        <w:gridCol w:w="757"/>
        <w:gridCol w:w="685"/>
        <w:gridCol w:w="697"/>
        <w:gridCol w:w="670"/>
        <w:gridCol w:w="776"/>
        <w:gridCol w:w="992"/>
        <w:gridCol w:w="850"/>
        <w:gridCol w:w="851"/>
      </w:tblGrid>
      <w:tr w:rsidR="00CA095A" w:rsidRPr="00B13D85" w:rsidTr="00865353">
        <w:tc>
          <w:tcPr>
            <w:tcW w:w="2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C1515A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15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года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CA095A" w:rsidRPr="00B13D85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года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тчет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CA095A" w:rsidRPr="00B13D85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года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CA095A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CA095A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</w:t>
            </w:r>
          </w:p>
          <w:p w:rsidR="00CA095A" w:rsidRPr="00B13D85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A095A" w:rsidRPr="00B13D85" w:rsidTr="005A1396">
        <w:tc>
          <w:tcPr>
            <w:tcW w:w="2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95A" w:rsidRPr="00B13D85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5A" w:rsidRPr="00B13D85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95A" w:rsidRPr="00B13D85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095A" w:rsidRPr="00073411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095A" w:rsidRPr="00B13D85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95A" w:rsidRPr="00B13D85" w:rsidRDefault="00CA095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A095A" w:rsidRDefault="00CA095A" w:rsidP="00C151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  <w:r w:rsidRPr="00B1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095A" w:rsidRPr="00B13D85" w:rsidTr="00865353"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в трудоспособном возрасте, чел.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hAnsi="Times New Roman" w:cs="Times New Roman"/>
                <w:sz w:val="20"/>
                <w:szCs w:val="20"/>
              </w:rPr>
              <w:t>5966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hAnsi="Times New Roman" w:cs="Times New Roman"/>
                <w:sz w:val="20"/>
                <w:szCs w:val="20"/>
              </w:rPr>
              <w:t>6111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C15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CA09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6260</w:t>
            </w:r>
          </w:p>
        </w:tc>
      </w:tr>
      <w:tr w:rsidR="00CA095A" w:rsidRPr="00B13D85" w:rsidTr="00865353"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 активное население (возраст с 15 до 72 лет), чел.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916285" w:rsidP="00474E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892B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916285" w:rsidP="00892B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892B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9162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162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95A" w:rsidRPr="00B13D85" w:rsidTr="00865353"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B13D85" w:rsidRDefault="00CA095A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D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безработных, чел.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95A" w:rsidRPr="00474EB7" w:rsidRDefault="00CA095A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DA2E98" w:rsidP="00892B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095A" w:rsidRDefault="00DA2E98" w:rsidP="00DA2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DA2E98" w:rsidP="00DA2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DA2E98" w:rsidP="00DA2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5A" w:rsidRPr="00474EB7" w:rsidRDefault="00DA2E98" w:rsidP="00DA2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421CB5" w:rsidRPr="00421CB5" w:rsidRDefault="00421CB5" w:rsidP="0042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5">
        <w:rPr>
          <w:rFonts w:ascii="Times New Roman" w:eastAsia="Times New Roman" w:hAnsi="Times New Roman" w:cs="Times New Roman"/>
          <w:sz w:val="24"/>
          <w:szCs w:val="24"/>
        </w:rPr>
        <w:t xml:space="preserve">Число безработных, зарегистрированных в ГУ «Центр занятости населения по </w:t>
      </w:r>
      <w:proofErr w:type="spellStart"/>
      <w:r w:rsidRPr="00421CB5">
        <w:rPr>
          <w:rFonts w:ascii="Times New Roman" w:eastAsia="Times New Roman" w:hAnsi="Times New Roman" w:cs="Times New Roman"/>
          <w:sz w:val="24"/>
          <w:szCs w:val="24"/>
        </w:rPr>
        <w:t>Суражскому</w:t>
      </w:r>
      <w:proofErr w:type="spellEnd"/>
      <w:r w:rsidRPr="00421CB5">
        <w:rPr>
          <w:rFonts w:ascii="Times New Roman" w:eastAsia="Times New Roman" w:hAnsi="Times New Roman" w:cs="Times New Roman"/>
          <w:sz w:val="24"/>
          <w:szCs w:val="24"/>
        </w:rPr>
        <w:t xml:space="preserve"> району» </w:t>
      </w:r>
      <w:proofErr w:type="gramStart"/>
      <w:r w:rsidRPr="00421CB5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421CB5">
        <w:rPr>
          <w:rFonts w:ascii="Times New Roman" w:eastAsia="Times New Roman" w:hAnsi="Times New Roman" w:cs="Times New Roman"/>
          <w:sz w:val="24"/>
          <w:szCs w:val="24"/>
        </w:rPr>
        <w:t xml:space="preserve"> 2023 года составило 35 человека. Уровень зарегистрированной безработицы составил 0,7 %.</w:t>
      </w:r>
    </w:p>
    <w:p w:rsidR="00421CB5" w:rsidRPr="00421CB5" w:rsidRDefault="00421CB5" w:rsidP="0042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CB5">
        <w:rPr>
          <w:rFonts w:ascii="Times New Roman" w:eastAsia="Times New Roman" w:hAnsi="Times New Roman" w:cs="Times New Roman"/>
          <w:sz w:val="24"/>
          <w:szCs w:val="24"/>
        </w:rPr>
        <w:t xml:space="preserve"> В городе Сураже имеется база для подготовки специалистов: преподавателей в педагогическом колледже имени Пушкина, специалистов в филиале Брянского института управления и бизнеса, специалистов рабочих профессий в аграрно-промышленном техникуме. Следовательно, первостепенная задача стоит в обеспечении рабочими местами экономически активное население, их финансовая поддержка с целью закрепления трудовых ресурсов в городе. 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В 2023 году предприятиями города было отгружено товаров собственного производства, выполнено работ и услуг собственными силами по всем видам экономической деятельности в размере 11118 млн. рублей, темп роста составил 97,3 % к уровню 2022 года.  По оценке, в 2025 году отгрузка составит 11660 млн. рублей (103,9 %). 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>Основную долю в объеме отгруженных товаров собственного производства, выполненных работ и услуг собственными силами предприятия занимают обрабатывающие производства.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В 2023 году объем отгруженных товаров собственного производства, выполненных работ и услуг собственными силами предприятий обрабатывающих производств составил в общем объеме 10820 млн. рублей (102,4 %).  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 Инвестиции в основной капитал являются одним из основных факторов, способствующих достижению показателей в сфере материального производства.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2023 году объем инвестиций в основной капитал составил 1124382 тыс. рублей, темп роста составил 75,1 к уровню 2022 года. 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>Потребительский рынок является узловым звеном экономики города, в котором пересекаются интересы государства, предприятий и предпринимателей, производящих и реализующих продукцию и оказывающие потребительские услуги, и потребителей.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Потребительский рынок города состоит из предприятий розничной торговли и организаций, представляющих платные услуги.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В 2023 году оборот розничной торговли составил 1578,7 млн. рублей (108,0%). По оценке, в 2024 году этот показатель составит 1698,8 млн. рублей.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В 2023 году оборот общественного питания составил 27,3 млн. рублей (100,2%). По оценке, в 2024 году этот показатель составит 28,8 млн. рублей. 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>Товарная насыщенность потребительского рынка носит устойчивый характер и в полной мере соответствует платежеспособному спросу на важнейшие продукты питания, товары легкой промышленности и культурно-бытового назначения. Объем товарных запасов сохранится на оптимальном уровне.</w:t>
      </w:r>
    </w:p>
    <w:p w:rsidR="005B31EC" w:rsidRP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расположены МУП «Рынок», торговый павильон «Ипуть», 3 универсама «Магнит», 4 универсама «Пятерочка». Все это позволяет поддерживать торговое обслуживание и ассортимент реализуемой продукции на качественном уровне.</w:t>
      </w:r>
    </w:p>
    <w:p w:rsidR="005B31EC" w:rsidRDefault="005B31EC" w:rsidP="005B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1E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Суража население пользуется услугами объектов бытового обслуживания: парикмахерскими, баней, ателье по пошиву швейных и трикотажных изделий и др.</w:t>
      </w:r>
    </w:p>
    <w:p w:rsidR="00DD054B" w:rsidRPr="00C55510" w:rsidRDefault="00DD054B" w:rsidP="005B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DD054B" w:rsidRPr="00C55510" w:rsidRDefault="00DD054B" w:rsidP="00DD05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5510">
        <w:rPr>
          <w:rFonts w:ascii="Times New Roman" w:eastAsia="Calibri" w:hAnsi="Times New Roman" w:cs="Times New Roman"/>
          <w:sz w:val="24"/>
          <w:szCs w:val="24"/>
          <w:lang w:eastAsia="en-US"/>
        </w:rPr>
        <w:t>В приложении к пояснительной записке п</w:t>
      </w:r>
      <w:r w:rsidRPr="00C55510">
        <w:rPr>
          <w:rFonts w:ascii="Times New Roman" w:eastAsia="Times New Roman" w:hAnsi="Times New Roman" w:cs="Times New Roman"/>
          <w:sz w:val="24"/>
          <w:szCs w:val="24"/>
        </w:rPr>
        <w:t xml:space="preserve">рогноза социально-экономического развития </w:t>
      </w:r>
      <w:r w:rsidR="009C2D06" w:rsidRPr="00C55510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C5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510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173 Бюджетного кодекса РФ, представлен сравнительный анализ основных показателей прогнозов социально-экономического развития с указанием причин и факторов прогнозируемых изменений.</w:t>
      </w:r>
    </w:p>
    <w:p w:rsidR="00DD054B" w:rsidRPr="00B13D85" w:rsidRDefault="00DD054B" w:rsidP="00DD054B">
      <w:pPr>
        <w:autoSpaceDE w:val="0"/>
        <w:autoSpaceDN w:val="0"/>
        <w:adjustRightInd w:val="0"/>
        <w:spacing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510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169 Бюджетного кодекса РФ прогноз социально-экономического развития территории является основой для составления проекта бюджета.</w:t>
      </w:r>
    </w:p>
    <w:p w:rsidR="00914647" w:rsidRDefault="00EC5966" w:rsidP="0091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  <w:r w:rsidR="00914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4647" w:rsidRPr="00914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бюджете Суражского городского поселения  Суражского муниципального района Брянской области </w:t>
      </w:r>
      <w:r w:rsidR="004842D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914647" w:rsidRPr="00914647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EC5966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3D85">
        <w:rPr>
          <w:rFonts w:ascii="Times New Roman" w:eastAsia="Times New Roman" w:hAnsi="Times New Roman" w:cs="Times New Roman"/>
          <w:sz w:val="24"/>
          <w:szCs w:val="24"/>
        </w:rPr>
        <w:t>Проект решения администрацией Суражского района внесен в Контрольно-счётную палату Суражского муниципального района 1</w:t>
      </w:r>
      <w:r w:rsidR="005B21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1C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B13D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п. 1 ст. 185 Бюджетного кодекса, п. 1 статьи 4 решения Совета народных депутатов  города </w:t>
      </w:r>
      <w:r w:rsidRPr="00C41E89">
        <w:rPr>
          <w:rFonts w:ascii="Times New Roman" w:eastAsia="Times New Roman" w:hAnsi="Times New Roman" w:cs="Times New Roman"/>
          <w:sz w:val="24"/>
          <w:szCs w:val="24"/>
        </w:rPr>
        <w:t xml:space="preserve">Суража от 23.10.2015 года №73 «О порядке составления, рассмотрения и утверждения бюджета </w:t>
      </w:r>
      <w:r w:rsidR="009C2D06" w:rsidRPr="00C41E89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C41E89">
        <w:rPr>
          <w:rFonts w:ascii="Times New Roman" w:eastAsia="Times New Roman" w:hAnsi="Times New Roman" w:cs="Times New Roman"/>
          <w:sz w:val="24"/>
          <w:szCs w:val="24"/>
        </w:rPr>
        <w:t>» (с учетом внесенных изменений от 21.11.2016 года №122).</w:t>
      </w:r>
      <w:proofErr w:type="gramEnd"/>
    </w:p>
    <w:p w:rsidR="0052236E" w:rsidRDefault="0052236E" w:rsidP="005B2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236E">
        <w:rPr>
          <w:rFonts w:ascii="Times New Roman" w:hAnsi="Times New Roman" w:cs="Times New Roman"/>
          <w:sz w:val="24"/>
          <w:szCs w:val="24"/>
        </w:rPr>
        <w:t>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опубликован.</w:t>
      </w:r>
    </w:p>
    <w:p w:rsidR="0052236E" w:rsidRPr="0052236E" w:rsidRDefault="0052236E" w:rsidP="0052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2236E">
        <w:rPr>
          <w:rFonts w:ascii="Times New Roman" w:eastAsia="Times New Roman" w:hAnsi="Times New Roman" w:cs="Times New Roman"/>
          <w:sz w:val="24"/>
          <w:szCs w:val="24"/>
        </w:rPr>
        <w:t>В соответствии с пп.2 пункта 3 статьи 28 Закона №131-ФЗ проект бюджета  вынесен на публичные слушания.</w:t>
      </w:r>
    </w:p>
    <w:p w:rsidR="00EC5966" w:rsidRPr="00B13D85" w:rsidRDefault="00C73B5F" w:rsidP="00C7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Представленные для экспертизы документы с</w:t>
      </w:r>
      <w:r w:rsidR="00EC5966" w:rsidRPr="00B13D85">
        <w:rPr>
          <w:rFonts w:ascii="Times New Roman" w:eastAsia="Times New Roman" w:hAnsi="Times New Roman" w:cs="Times New Roman"/>
          <w:sz w:val="24"/>
          <w:szCs w:val="24"/>
        </w:rPr>
        <w:t>оответств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EC5966" w:rsidRPr="00B13D85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5966" w:rsidRPr="00B13D85">
        <w:rPr>
          <w:rFonts w:ascii="Times New Roman" w:eastAsia="Times New Roman" w:hAnsi="Times New Roman" w:cs="Times New Roman"/>
          <w:sz w:val="24"/>
          <w:szCs w:val="24"/>
        </w:rPr>
        <w:t xml:space="preserve"> 184.2 Бюджетного Кодекса РФ</w:t>
      </w:r>
      <w:r w:rsidR="00C159FE">
        <w:rPr>
          <w:rFonts w:ascii="Times New Roman" w:eastAsia="Times New Roman" w:hAnsi="Times New Roman" w:cs="Times New Roman"/>
          <w:sz w:val="24"/>
          <w:szCs w:val="24"/>
        </w:rPr>
        <w:t xml:space="preserve"> в части материалов и документов, представленных одновременно с проектом бюджета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5966" w:rsidRPr="00B13D85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EC5966" w:rsidRPr="00B13D85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муниципального образования город Сураж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1C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1CF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годы разработаны в целях определения подходов к формированию основных характеристик и прогнозируемых параметров проекта бюджета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, обеспечивающих устойчивость и сбалансированность бюджета</w:t>
      </w:r>
      <w:r w:rsidR="006B10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5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города Сураж направлены на развитие экономики, социальной стабильности, повышения уровня собираемости собственных доходов. </w:t>
      </w:r>
    </w:p>
    <w:p w:rsidR="00EC5966" w:rsidRPr="00B13D85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9C2D06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1C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 и </w:t>
      </w:r>
      <w:r w:rsidR="00844568">
        <w:rPr>
          <w:rFonts w:ascii="Times New Roman" w:eastAsia="Times New Roman" w:hAnsi="Times New Roman" w:cs="Times New Roman"/>
          <w:sz w:val="24"/>
          <w:szCs w:val="24"/>
        </w:rPr>
        <w:t>на период до 202</w:t>
      </w:r>
      <w:r w:rsidR="00831C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456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B13D85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Исполнена статья 184.1 БК РФ в части состава показателей, утверждаемых в проекте </w:t>
      </w:r>
      <w:r w:rsidR="00FD5628">
        <w:rPr>
          <w:rFonts w:ascii="Times New Roman" w:eastAsia="Times New Roman" w:hAnsi="Times New Roman" w:cs="Times New Roman"/>
          <w:sz w:val="24"/>
          <w:szCs w:val="24"/>
        </w:rPr>
        <w:t xml:space="preserve">решения о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бюдже</w:t>
      </w:r>
      <w:r w:rsidR="006910A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D56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06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="00CB28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5A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281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44568">
        <w:rPr>
          <w:rFonts w:ascii="Times New Roman" w:eastAsia="Times New Roman" w:hAnsi="Times New Roman" w:cs="Times New Roman"/>
          <w:sz w:val="24"/>
          <w:szCs w:val="24"/>
        </w:rPr>
        <w:t xml:space="preserve"> (пункт 1)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966" w:rsidRPr="00B13D85" w:rsidRDefault="00EC5966" w:rsidP="00EC59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  общий объем доходов бюджета </w:t>
      </w:r>
      <w:r w:rsidR="00CB28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A2D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EC5966" w:rsidRPr="00B13D85" w:rsidRDefault="00EC5966" w:rsidP="00EC59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  общий объем расходов бюджета  –</w:t>
      </w:r>
      <w:r w:rsidR="0076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A2D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  тыс. руб.</w:t>
      </w:r>
    </w:p>
    <w:p w:rsidR="00EC5966" w:rsidRDefault="00EC5966" w:rsidP="00EC59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  дефицит бюджета</w:t>
      </w:r>
      <w:r w:rsidR="00CB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– в сумме 0,0 тыс. руб.</w:t>
      </w:r>
    </w:p>
    <w:p w:rsidR="00F94599" w:rsidRPr="00EA5B80" w:rsidRDefault="00F94599" w:rsidP="009C17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B80">
        <w:rPr>
          <w:rFonts w:ascii="Times New Roman" w:hAnsi="Times New Roman" w:cs="Times New Roman"/>
          <w:sz w:val="24"/>
          <w:szCs w:val="24"/>
        </w:rPr>
        <w:t>Утверждены основные характеристики планового периода</w:t>
      </w:r>
      <w:r w:rsidR="00844568">
        <w:rPr>
          <w:rFonts w:ascii="Times New Roman" w:hAnsi="Times New Roman" w:cs="Times New Roman"/>
          <w:sz w:val="24"/>
          <w:szCs w:val="24"/>
        </w:rPr>
        <w:t xml:space="preserve"> (пункт 2)</w:t>
      </w:r>
      <w:r w:rsidRPr="00EA5B80">
        <w:rPr>
          <w:rFonts w:ascii="Times New Roman" w:hAnsi="Times New Roman" w:cs="Times New Roman"/>
          <w:sz w:val="24"/>
          <w:szCs w:val="24"/>
        </w:rPr>
        <w:t>:</w:t>
      </w:r>
    </w:p>
    <w:p w:rsidR="00F94599" w:rsidRPr="00D046E1" w:rsidRDefault="00F94599" w:rsidP="00D046E1">
      <w:pPr>
        <w:pStyle w:val="af3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 w:rsidRPr="00D046E1">
        <w:rPr>
          <w:sz w:val="24"/>
          <w:szCs w:val="24"/>
        </w:rPr>
        <w:t>- про</w:t>
      </w:r>
      <w:r w:rsidR="00732909" w:rsidRPr="00D046E1">
        <w:rPr>
          <w:sz w:val="24"/>
          <w:szCs w:val="24"/>
        </w:rPr>
        <w:t>г</w:t>
      </w:r>
      <w:r w:rsidRPr="00D046E1">
        <w:rPr>
          <w:sz w:val="24"/>
          <w:szCs w:val="24"/>
        </w:rPr>
        <w:t xml:space="preserve">нозируемый объем доходов на </w:t>
      </w:r>
      <w:r w:rsidR="005003A4" w:rsidRPr="00D046E1">
        <w:rPr>
          <w:sz w:val="24"/>
          <w:szCs w:val="24"/>
        </w:rPr>
        <w:t>202</w:t>
      </w:r>
      <w:r w:rsidR="00295A2D" w:rsidRPr="00D046E1">
        <w:rPr>
          <w:sz w:val="24"/>
          <w:szCs w:val="24"/>
        </w:rPr>
        <w:t>6</w:t>
      </w:r>
      <w:r w:rsidRPr="00D046E1">
        <w:rPr>
          <w:sz w:val="24"/>
          <w:szCs w:val="24"/>
        </w:rPr>
        <w:t xml:space="preserve"> год в сумме </w:t>
      </w:r>
      <w:r w:rsidR="00295A2D" w:rsidRPr="00D046E1">
        <w:rPr>
          <w:sz w:val="24"/>
          <w:szCs w:val="24"/>
        </w:rPr>
        <w:t>112059,8</w:t>
      </w:r>
      <w:r w:rsidRPr="00D046E1">
        <w:rPr>
          <w:sz w:val="24"/>
          <w:szCs w:val="24"/>
        </w:rPr>
        <w:t xml:space="preserve"> тыс. рублей, на </w:t>
      </w:r>
      <w:r w:rsidR="005003A4" w:rsidRPr="00D046E1">
        <w:rPr>
          <w:sz w:val="24"/>
          <w:szCs w:val="24"/>
        </w:rPr>
        <w:t>202</w:t>
      </w:r>
      <w:r w:rsidR="00295A2D" w:rsidRPr="00D046E1">
        <w:rPr>
          <w:sz w:val="24"/>
          <w:szCs w:val="24"/>
        </w:rPr>
        <w:t>7</w:t>
      </w:r>
      <w:r w:rsidRPr="00D046E1">
        <w:rPr>
          <w:sz w:val="24"/>
          <w:szCs w:val="24"/>
        </w:rPr>
        <w:t xml:space="preserve"> год в сумме </w:t>
      </w:r>
      <w:r w:rsidR="00295A2D" w:rsidRPr="00D046E1">
        <w:rPr>
          <w:sz w:val="24"/>
          <w:szCs w:val="24"/>
        </w:rPr>
        <w:t>119079,9</w:t>
      </w:r>
      <w:r w:rsidRPr="00D046E1">
        <w:rPr>
          <w:sz w:val="24"/>
          <w:szCs w:val="24"/>
        </w:rPr>
        <w:t xml:space="preserve"> тыс. рублей;</w:t>
      </w:r>
    </w:p>
    <w:p w:rsidR="00021E7F" w:rsidRPr="0049457A" w:rsidRDefault="00F94599" w:rsidP="00021E7F">
      <w:pPr>
        <w:pStyle w:val="af3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49457A">
        <w:rPr>
          <w:sz w:val="24"/>
          <w:szCs w:val="24"/>
        </w:rPr>
        <w:t xml:space="preserve">- общий объем расходов </w:t>
      </w:r>
      <w:r w:rsidR="00021E7F" w:rsidRPr="0049457A">
        <w:rPr>
          <w:sz w:val="24"/>
          <w:szCs w:val="24"/>
        </w:rPr>
        <w:t>на 202</w:t>
      </w:r>
      <w:r w:rsidR="00295A2D">
        <w:rPr>
          <w:sz w:val="24"/>
          <w:szCs w:val="24"/>
        </w:rPr>
        <w:t>6</w:t>
      </w:r>
      <w:r w:rsidR="00021E7F" w:rsidRPr="0049457A">
        <w:rPr>
          <w:sz w:val="24"/>
          <w:szCs w:val="24"/>
        </w:rPr>
        <w:t xml:space="preserve"> год в сумме </w:t>
      </w:r>
      <w:r w:rsidR="00295A2D">
        <w:rPr>
          <w:sz w:val="24"/>
          <w:szCs w:val="24"/>
        </w:rPr>
        <w:t>112059,8</w:t>
      </w:r>
      <w:r w:rsidR="00021E7F" w:rsidRPr="0049457A">
        <w:rPr>
          <w:sz w:val="24"/>
          <w:szCs w:val="24"/>
        </w:rPr>
        <w:t xml:space="preserve"> тыс. рублей, </w:t>
      </w:r>
      <w:r w:rsidR="0049457A" w:rsidRPr="0049457A">
        <w:rPr>
          <w:sz w:val="24"/>
          <w:szCs w:val="24"/>
        </w:rPr>
        <w:t xml:space="preserve">в том числе условно утвержденные расходы в сумме </w:t>
      </w:r>
      <w:r w:rsidR="00295A2D">
        <w:rPr>
          <w:sz w:val="24"/>
          <w:szCs w:val="24"/>
        </w:rPr>
        <w:t>2500,0</w:t>
      </w:r>
      <w:r w:rsidR="0049457A" w:rsidRPr="0049457A">
        <w:rPr>
          <w:sz w:val="24"/>
          <w:szCs w:val="24"/>
        </w:rPr>
        <w:t xml:space="preserve"> тыс. рублей, </w:t>
      </w:r>
      <w:r w:rsidR="00021E7F" w:rsidRPr="0049457A">
        <w:rPr>
          <w:sz w:val="24"/>
          <w:szCs w:val="24"/>
        </w:rPr>
        <w:t>на 202</w:t>
      </w:r>
      <w:r w:rsidR="00295A2D">
        <w:rPr>
          <w:sz w:val="24"/>
          <w:szCs w:val="24"/>
        </w:rPr>
        <w:t>7</w:t>
      </w:r>
      <w:r w:rsidR="00021E7F" w:rsidRPr="0049457A">
        <w:rPr>
          <w:sz w:val="24"/>
          <w:szCs w:val="24"/>
        </w:rPr>
        <w:t xml:space="preserve"> год в сумме </w:t>
      </w:r>
      <w:r w:rsidR="00295A2D">
        <w:rPr>
          <w:sz w:val="24"/>
          <w:szCs w:val="24"/>
        </w:rPr>
        <w:t>119079,9</w:t>
      </w:r>
      <w:r w:rsidR="00021E7F" w:rsidRPr="0049457A">
        <w:rPr>
          <w:sz w:val="24"/>
          <w:szCs w:val="24"/>
        </w:rPr>
        <w:t xml:space="preserve"> тыс. рублей</w:t>
      </w:r>
      <w:r w:rsidR="0049457A" w:rsidRPr="0049457A">
        <w:rPr>
          <w:sz w:val="24"/>
          <w:szCs w:val="24"/>
        </w:rPr>
        <w:t xml:space="preserve">, в том числе условно утвержденные расходы </w:t>
      </w:r>
      <w:r w:rsidR="00295A2D">
        <w:rPr>
          <w:sz w:val="24"/>
          <w:szCs w:val="24"/>
        </w:rPr>
        <w:t>5350,0</w:t>
      </w:r>
      <w:r w:rsidR="0049457A" w:rsidRPr="0049457A">
        <w:rPr>
          <w:sz w:val="24"/>
          <w:szCs w:val="24"/>
        </w:rPr>
        <w:t xml:space="preserve"> тыс. рублей</w:t>
      </w:r>
      <w:r w:rsidR="00021E7F" w:rsidRPr="0049457A">
        <w:rPr>
          <w:sz w:val="24"/>
          <w:szCs w:val="24"/>
        </w:rPr>
        <w:t>;</w:t>
      </w:r>
    </w:p>
    <w:p w:rsidR="00EC5966" w:rsidRPr="00021E7F" w:rsidRDefault="00EC5966" w:rsidP="00021E7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E7F">
        <w:rPr>
          <w:rFonts w:ascii="Times New Roman" w:hAnsi="Times New Roman" w:cs="Times New Roman"/>
          <w:sz w:val="24"/>
          <w:szCs w:val="24"/>
        </w:rPr>
        <w:t xml:space="preserve">Кроме того, в соответствии с указанной статьей, проектом </w:t>
      </w:r>
      <w:proofErr w:type="gramStart"/>
      <w:r w:rsidRPr="00021E7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021E7F">
        <w:rPr>
          <w:rFonts w:ascii="Times New Roman" w:hAnsi="Times New Roman" w:cs="Times New Roman"/>
          <w:sz w:val="24"/>
          <w:szCs w:val="24"/>
        </w:rPr>
        <w:t>:</w:t>
      </w:r>
    </w:p>
    <w:p w:rsidR="00EC5966" w:rsidRPr="00EA5B80" w:rsidRDefault="00EC5966" w:rsidP="00C8008B">
      <w:pPr>
        <w:pStyle w:val="af3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 w:rsidRPr="00EA5B80">
        <w:rPr>
          <w:sz w:val="24"/>
          <w:szCs w:val="24"/>
        </w:rPr>
        <w:t>перечень главных администраторов доходов бюджета;</w:t>
      </w:r>
    </w:p>
    <w:p w:rsidR="00EC5966" w:rsidRPr="00B13D85" w:rsidRDefault="00EC5966" w:rsidP="00EC596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13D85">
        <w:rPr>
          <w:rFonts w:ascii="Wingdings" w:eastAsia="Times New Roman" w:hAnsi="Wingdings" w:cs="Arial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</w:t>
      </w:r>
      <w:r w:rsidR="00844568">
        <w:rPr>
          <w:rFonts w:ascii="Times New Roman" w:eastAsia="Times New Roman" w:hAnsi="Times New Roman" w:cs="Times New Roman"/>
          <w:sz w:val="24"/>
          <w:szCs w:val="24"/>
        </w:rPr>
        <w:t xml:space="preserve"> (пункт 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445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5966" w:rsidRPr="00B13D85" w:rsidRDefault="00EC5966" w:rsidP="00EC596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3D85">
        <w:rPr>
          <w:rFonts w:ascii="Wingdings" w:eastAsia="Times New Roman" w:hAnsi="Wingdings" w:cs="Arial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</w:t>
      </w:r>
      <w:r w:rsidR="001238BF">
        <w:rPr>
          <w:rFonts w:ascii="Times New Roman" w:eastAsia="Times New Roman" w:hAnsi="Times New Roman" w:cs="Times New Roman"/>
          <w:sz w:val="24"/>
          <w:szCs w:val="24"/>
        </w:rPr>
        <w:t xml:space="preserve"> (пункт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38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5966" w:rsidRPr="00B13D85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Wingdings" w:eastAsia="Times New Roman" w:hAnsi="Wingdings" w:cs="Times New Roman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  объемы межбюджетных трансфертов, получаемых из других бюджетов бюджетной системы</w:t>
      </w:r>
      <w:r w:rsidR="004B3997">
        <w:rPr>
          <w:rFonts w:ascii="Times New Roman" w:eastAsia="Times New Roman" w:hAnsi="Times New Roman" w:cs="Times New Roman"/>
          <w:sz w:val="24"/>
          <w:szCs w:val="24"/>
        </w:rPr>
        <w:t xml:space="preserve"> (пункт 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B39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C5966" w:rsidRPr="00B13D85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12182,7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C5966" w:rsidRPr="00B13D85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57073F">
        <w:rPr>
          <w:rFonts w:ascii="Times New Roman" w:eastAsia="Times New Roman" w:hAnsi="Times New Roman" w:cs="Times New Roman"/>
          <w:sz w:val="24"/>
          <w:szCs w:val="24"/>
        </w:rPr>
        <w:t>12182,7</w:t>
      </w:r>
      <w:r w:rsidR="0076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EC5966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3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B17111">
        <w:rPr>
          <w:rFonts w:ascii="Times New Roman" w:eastAsia="Times New Roman" w:hAnsi="Times New Roman" w:cs="Times New Roman"/>
          <w:sz w:val="24"/>
          <w:szCs w:val="24"/>
        </w:rPr>
        <w:t>12182,7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90DA2" w:rsidRPr="00B13D85" w:rsidRDefault="00390DA2" w:rsidP="003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Wingdings" w:eastAsia="Times New Roman" w:hAnsi="Wingdings" w:cs="Times New Roman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  объемы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передаваемых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бюджетной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(пункт 1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0DA2" w:rsidRPr="00B13D85" w:rsidRDefault="00390DA2" w:rsidP="003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90DA2" w:rsidRPr="00B13D85" w:rsidRDefault="00390DA2" w:rsidP="003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00,0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390DA2" w:rsidRDefault="00390DA2" w:rsidP="003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27369" w:rsidRPr="00B13D85" w:rsidRDefault="00427369" w:rsidP="0042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Wingdings" w:eastAsia="Times New Roman" w:hAnsi="Wingdings" w:cs="Times New Roman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общий объем  бюджетных ассигнований дорожного фонда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 xml:space="preserve"> (ст. 179.4 </w:t>
      </w:r>
      <w:r w:rsidR="00BF7A0C" w:rsidRPr="00B13D85"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9746B">
        <w:rPr>
          <w:rFonts w:ascii="Times New Roman" w:eastAsia="Times New Roman" w:hAnsi="Times New Roman" w:cs="Times New Roman"/>
          <w:sz w:val="24"/>
          <w:szCs w:val="24"/>
        </w:rPr>
        <w:t xml:space="preserve"> (пункт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74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7369" w:rsidRPr="00B13D85" w:rsidRDefault="00427369" w:rsidP="0042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55612,7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27369" w:rsidRPr="00B13D85" w:rsidRDefault="00427369" w:rsidP="0042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35651,6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427369" w:rsidRDefault="00427369" w:rsidP="0042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4A2923">
        <w:rPr>
          <w:rFonts w:ascii="Times New Roman" w:eastAsia="Times New Roman" w:hAnsi="Times New Roman" w:cs="Times New Roman"/>
          <w:sz w:val="24"/>
          <w:szCs w:val="24"/>
        </w:rPr>
        <w:t>36678,7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E6F1D" w:rsidRPr="00B13D85" w:rsidRDefault="008E6F1D" w:rsidP="008E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Wingdings" w:eastAsia="Times New Roman" w:hAnsi="Wingdings" w:cs="Times New Roman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размер резе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вного фонда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 xml:space="preserve"> (ст. 81 БК РФ)</w:t>
      </w:r>
      <w:r w:rsidR="009C7812">
        <w:rPr>
          <w:rFonts w:ascii="Times New Roman" w:eastAsia="Times New Roman" w:hAnsi="Times New Roman" w:cs="Times New Roman"/>
          <w:sz w:val="24"/>
          <w:szCs w:val="24"/>
        </w:rPr>
        <w:t xml:space="preserve"> (пункт 1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C78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6F1D" w:rsidRPr="00B13D85" w:rsidRDefault="008E6F1D" w:rsidP="008E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E6F1D" w:rsidRPr="00B13D85" w:rsidRDefault="008E6F1D" w:rsidP="008E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</w:t>
      </w:r>
      <w:r w:rsidR="00297C4E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8E6F1D" w:rsidRPr="00B13D85" w:rsidRDefault="008E6F1D" w:rsidP="008E6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297C4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F7A0C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C5966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Wingdings" w:eastAsia="Times New Roman" w:hAnsi="Wingdings" w:cs="Times New Roman"/>
          <w:sz w:val="24"/>
          <w:szCs w:val="24"/>
        </w:rPr>
        <w:t>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     верхний предел муниципального внутреннего долга на 01.01.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</w:t>
      </w:r>
      <w:r w:rsidR="00763DB8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63D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369">
        <w:rPr>
          <w:rFonts w:ascii="Times New Roman" w:eastAsia="Times New Roman" w:hAnsi="Times New Roman" w:cs="Times New Roman"/>
          <w:sz w:val="24"/>
          <w:szCs w:val="24"/>
        </w:rPr>
        <w:t>на 01.01.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7369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0,00 рублей, на 01.01.202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27369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0,00 рублей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 xml:space="preserve"> (пункт 2)</w:t>
      </w:r>
      <w:r w:rsidR="00986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3FC7" w:rsidRPr="00D83FC7" w:rsidRDefault="00D83FC7" w:rsidP="00D83FC7">
      <w:pPr>
        <w:pStyle w:val="af3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D83FC7">
        <w:rPr>
          <w:sz w:val="24"/>
          <w:szCs w:val="24"/>
        </w:rPr>
        <w:t xml:space="preserve">общий объем  бюджетных ассигнований </w:t>
      </w:r>
      <w:r w:rsidR="00575EBD">
        <w:rPr>
          <w:sz w:val="24"/>
          <w:szCs w:val="24"/>
        </w:rPr>
        <w:t xml:space="preserve">на исполнение публичных нормативных обязательств </w:t>
      </w:r>
      <w:r w:rsidRPr="00D83FC7">
        <w:rPr>
          <w:sz w:val="24"/>
          <w:szCs w:val="24"/>
        </w:rPr>
        <w:t xml:space="preserve"> (пункт </w:t>
      </w:r>
      <w:r w:rsidR="006F12C0">
        <w:rPr>
          <w:sz w:val="24"/>
          <w:szCs w:val="24"/>
        </w:rPr>
        <w:t>8</w:t>
      </w:r>
      <w:r w:rsidRPr="00D83FC7">
        <w:rPr>
          <w:sz w:val="24"/>
          <w:szCs w:val="24"/>
        </w:rPr>
        <w:t>)</w:t>
      </w:r>
      <w:r w:rsidR="009869EA">
        <w:rPr>
          <w:sz w:val="24"/>
          <w:szCs w:val="24"/>
        </w:rPr>
        <w:t>;</w:t>
      </w:r>
    </w:p>
    <w:p w:rsidR="00D83FC7" w:rsidRPr="00B13D85" w:rsidRDefault="00D83FC7" w:rsidP="00D83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575EBD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83FC7" w:rsidRPr="00B13D85" w:rsidRDefault="00D83FC7" w:rsidP="00D83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575EBD">
        <w:rPr>
          <w:rFonts w:ascii="Times New Roman" w:eastAsia="Times New Roman" w:hAnsi="Times New Roman" w:cs="Times New Roman"/>
          <w:sz w:val="24"/>
          <w:szCs w:val="24"/>
        </w:rPr>
        <w:t>40,0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D83FC7" w:rsidRDefault="00D83FC7" w:rsidP="00D83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12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год  – </w:t>
      </w:r>
      <w:r w:rsidR="00575EBD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97DA2" w:rsidRDefault="00FA0621" w:rsidP="00E80FF1">
      <w:pPr>
        <w:pStyle w:val="af3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и структура источников внутреннего </w:t>
      </w:r>
      <w:r w:rsidRPr="00FA0621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дефицита бюджета (</w:t>
      </w:r>
      <w:r w:rsidR="009C543A">
        <w:rPr>
          <w:sz w:val="24"/>
          <w:szCs w:val="24"/>
        </w:rPr>
        <w:t xml:space="preserve">приложение 7,  </w:t>
      </w:r>
      <w:r>
        <w:rPr>
          <w:sz w:val="24"/>
          <w:szCs w:val="24"/>
        </w:rPr>
        <w:t xml:space="preserve">пункт </w:t>
      </w:r>
      <w:r w:rsidR="006F12C0">
        <w:rPr>
          <w:sz w:val="24"/>
          <w:szCs w:val="24"/>
        </w:rPr>
        <w:t>17</w:t>
      </w:r>
      <w:r>
        <w:rPr>
          <w:sz w:val="24"/>
          <w:szCs w:val="24"/>
        </w:rPr>
        <w:t>)</w:t>
      </w:r>
      <w:r w:rsidR="009869EA">
        <w:rPr>
          <w:sz w:val="24"/>
          <w:szCs w:val="24"/>
        </w:rPr>
        <w:t>;</w:t>
      </w:r>
    </w:p>
    <w:p w:rsidR="009C543A" w:rsidRDefault="009C543A" w:rsidP="009C543A">
      <w:pPr>
        <w:pStyle w:val="af3"/>
        <w:numPr>
          <w:ilvl w:val="0"/>
          <w:numId w:val="5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C543A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9C543A">
        <w:rPr>
          <w:sz w:val="24"/>
          <w:szCs w:val="24"/>
        </w:rPr>
        <w:t xml:space="preserve"> муниципальных внутренних заимствований Суражского городского поселения </w:t>
      </w:r>
      <w:r>
        <w:rPr>
          <w:sz w:val="24"/>
          <w:szCs w:val="24"/>
        </w:rPr>
        <w:t>(</w:t>
      </w:r>
      <w:r w:rsidRPr="009C543A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9C543A">
        <w:rPr>
          <w:sz w:val="24"/>
          <w:szCs w:val="24"/>
        </w:rPr>
        <w:t xml:space="preserve"> 8</w:t>
      </w:r>
      <w:r>
        <w:rPr>
          <w:sz w:val="24"/>
          <w:szCs w:val="24"/>
        </w:rPr>
        <w:t>, пункт 18)</w:t>
      </w:r>
      <w:r w:rsidR="009869EA">
        <w:rPr>
          <w:sz w:val="24"/>
          <w:szCs w:val="24"/>
        </w:rPr>
        <w:t>;</w:t>
      </w:r>
    </w:p>
    <w:p w:rsidR="009869EA" w:rsidRPr="009869EA" w:rsidRDefault="009869EA" w:rsidP="009C543A">
      <w:pPr>
        <w:pStyle w:val="af3"/>
        <w:numPr>
          <w:ilvl w:val="0"/>
          <w:numId w:val="5"/>
        </w:numPr>
        <w:ind w:left="142" w:hanging="142"/>
        <w:jc w:val="both"/>
        <w:rPr>
          <w:sz w:val="24"/>
          <w:szCs w:val="24"/>
        </w:rPr>
      </w:pPr>
      <w:r w:rsidRPr="009869EA">
        <w:rPr>
          <w:sz w:val="24"/>
          <w:szCs w:val="24"/>
        </w:rPr>
        <w:t xml:space="preserve">  программа муниципальных гарантий Суражского городского поселения (приложение 9, пункт 19).</w:t>
      </w:r>
    </w:p>
    <w:p w:rsidR="00EC5966" w:rsidRPr="00B13D85" w:rsidRDefault="00EC5966" w:rsidP="00EC596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r w:rsidR="009C2D06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Суражского городского поселения</w:t>
      </w: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42D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B13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D642F" w:rsidRPr="00B13D85" w:rsidRDefault="00EC5966" w:rsidP="00EC59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3D8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416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3D8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097" w:type="dxa"/>
        <w:tblInd w:w="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992"/>
        <w:gridCol w:w="992"/>
        <w:gridCol w:w="993"/>
        <w:gridCol w:w="567"/>
        <w:gridCol w:w="992"/>
        <w:gridCol w:w="709"/>
        <w:gridCol w:w="992"/>
        <w:gridCol w:w="992"/>
      </w:tblGrid>
      <w:tr w:rsidR="00641A7F" w:rsidRPr="00EC5966" w:rsidTr="00946D39">
        <w:trPr>
          <w:trHeight w:val="255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5003A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</w:t>
            </w:r>
            <w:proofErr w:type="gramStart"/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д-</w:t>
            </w:r>
            <w:proofErr w:type="gramEnd"/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</w:t>
            </w:r>
            <w:proofErr w:type="spellEnd"/>
          </w:p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ка)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5003A4" w:rsidP="00E16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5003A4" w:rsidP="00E16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5003A4" w:rsidP="00E16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16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41A7F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D0839" w:rsidRPr="00EC5966" w:rsidTr="00946D39">
        <w:trPr>
          <w:trHeight w:val="1020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A7F" w:rsidRPr="00EC5966" w:rsidRDefault="00641A7F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A7F" w:rsidRPr="00EC5966" w:rsidRDefault="00641A7F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5E5819">
            <w:pPr>
              <w:tabs>
                <w:tab w:val="left" w:pos="70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4CD" w:rsidRDefault="00641A7F" w:rsidP="00F65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F65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</w:p>
          <w:p w:rsidR="00641A7F" w:rsidRPr="00EC5966" w:rsidRDefault="00641A7F" w:rsidP="00F65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4CD" w:rsidRDefault="00641A7F" w:rsidP="00F65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F65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</w:p>
          <w:p w:rsidR="00641A7F" w:rsidRPr="00EC5966" w:rsidRDefault="00641A7F" w:rsidP="00F65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A7F" w:rsidRPr="00EC5966" w:rsidRDefault="00641A7F" w:rsidP="00F654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F65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03276E" w:rsidRPr="0003276E" w:rsidTr="00946D39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6E" w:rsidRPr="00EC5966" w:rsidRDefault="0003276E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-93632,5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03276E" w:rsidRPr="0003276E" w:rsidTr="00946D39">
        <w:trPr>
          <w:trHeight w:val="34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6E" w:rsidRPr="00EC5966" w:rsidRDefault="0003276E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-150844,5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03276E" w:rsidRPr="0003276E" w:rsidTr="00946D39">
        <w:trPr>
          <w:trHeight w:val="37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6E" w:rsidRPr="00EC5966" w:rsidRDefault="0003276E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76E" w:rsidRPr="0003276E" w:rsidRDefault="00032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C5966" w:rsidRPr="009D642F" w:rsidRDefault="00EC5966" w:rsidP="00EC59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  </w:t>
      </w:r>
      <w:r w:rsidR="00BF1095" w:rsidRPr="009D64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1095"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в сумме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="00E5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ниже оценки уровня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93632,5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на 47,1%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EC5966" w:rsidRPr="009D642F" w:rsidRDefault="00EC5966" w:rsidP="00EC59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150844,5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610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58,9%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меньше оценки объёма расходов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год. Дефицит бюджета </w:t>
      </w:r>
      <w:r w:rsidR="00D8625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не предусмотрен.  </w:t>
      </w:r>
    </w:p>
    <w:p w:rsidR="00EC5966" w:rsidRPr="009D642F" w:rsidRDefault="00EC5966" w:rsidP="00EC59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и расходов бюджета  </w:t>
      </w:r>
      <w:r w:rsidR="00BF1095" w:rsidRPr="009D64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1095"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в сумме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112059,8</w:t>
      </w:r>
      <w:r w:rsidR="00F7141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>ыс. рублей, с у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 xml:space="preserve">величением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к прогнозируемому объему доходов и расходов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EC5966" w:rsidRDefault="00EC5966" w:rsidP="00EC59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и расходов бюджета  </w:t>
      </w:r>
      <w:r w:rsidR="00F720F4" w:rsidRPr="009D64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F4" w:rsidRPr="009D642F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в сумме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119079,9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E61075">
        <w:rPr>
          <w:rFonts w:ascii="Times New Roman" w:eastAsia="Times New Roman" w:hAnsi="Times New Roman" w:cs="Times New Roman"/>
          <w:sz w:val="24"/>
          <w:szCs w:val="24"/>
        </w:rPr>
        <w:t>величением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к прогнозируемому объему доходов и расходов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E46356">
        <w:rPr>
          <w:rFonts w:ascii="Times New Roman" w:eastAsia="Times New Roman" w:hAnsi="Times New Roman" w:cs="Times New Roman"/>
          <w:sz w:val="24"/>
          <w:szCs w:val="24"/>
        </w:rPr>
        <w:t>6,3</w:t>
      </w:r>
      <w:r w:rsidRPr="009D642F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EC5966" w:rsidRPr="00346D15" w:rsidRDefault="00EC5966" w:rsidP="00EC5966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D1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доходной части проекта бюджета</w:t>
      </w:r>
    </w:p>
    <w:p w:rsidR="00EC5966" w:rsidRPr="009D642F" w:rsidRDefault="00EC5966" w:rsidP="00EC5966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9D642F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9D642F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EC5966" w:rsidRPr="009D642F" w:rsidRDefault="00EC5966" w:rsidP="00EC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показателей доходной части бюджета</w:t>
      </w:r>
      <w:r w:rsidR="000C09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C5966" w:rsidRPr="009D642F" w:rsidRDefault="00EC5966" w:rsidP="00EC59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64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312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6D1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21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51"/>
        <w:gridCol w:w="747"/>
        <w:gridCol w:w="996"/>
        <w:gridCol w:w="709"/>
        <w:gridCol w:w="992"/>
        <w:gridCol w:w="709"/>
      </w:tblGrid>
      <w:tr w:rsidR="00905E85" w:rsidRPr="00C116DA" w:rsidTr="004B588D">
        <w:trPr>
          <w:trHeight w:val="28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5003A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</w:t>
            </w:r>
            <w:proofErr w:type="gramStart"/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д-</w:t>
            </w:r>
            <w:proofErr w:type="gramEnd"/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</w:t>
            </w:r>
            <w:proofErr w:type="spellEnd"/>
          </w:p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ка)</w:t>
            </w:r>
            <w:proofErr w:type="gramEnd"/>
          </w:p>
        </w:tc>
        <w:tc>
          <w:tcPr>
            <w:tcW w:w="26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5003A4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5003A4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5003A4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05E85"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05E85" w:rsidRPr="00C116DA" w:rsidTr="004B588D">
        <w:trPr>
          <w:trHeight w:val="51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E85" w:rsidRPr="00C116DA" w:rsidRDefault="00905E85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E85" w:rsidRPr="00C116DA" w:rsidRDefault="00905E85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85" w:rsidRPr="00C116DA" w:rsidRDefault="00905E85" w:rsidP="00277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77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11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654349" w:rsidRPr="00C75FE6" w:rsidTr="002B200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49" w:rsidRPr="00963361" w:rsidRDefault="00654349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198807,4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105174,9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-93632,5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112059,8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119079,9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106,3</w:t>
            </w:r>
          </w:p>
        </w:tc>
      </w:tr>
      <w:tr w:rsidR="00654349" w:rsidRPr="00C75FE6" w:rsidTr="002B200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49" w:rsidRPr="00C75FE6" w:rsidRDefault="00654349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92290,2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8553,2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107,1</w:t>
            </w:r>
          </w:p>
        </w:tc>
      </w:tr>
      <w:tr w:rsidR="00654349" w:rsidRPr="00C116DA" w:rsidTr="002B200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49" w:rsidRPr="00C116DA" w:rsidRDefault="00654349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-378,6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54349" w:rsidRPr="00C116DA" w:rsidTr="002B2003">
        <w:trPr>
          <w:trHeight w:val="13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49" w:rsidRPr="00C116DA" w:rsidRDefault="00654349" w:rsidP="00EC5966">
            <w:pPr>
              <w:spacing w:after="0" w:line="132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D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113989,8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-101807,1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3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0D7453" w:rsidRDefault="000D7453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оходы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проекте бюджета ниже оценки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бюджета за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6004" w:rsidRPr="00C116D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47,1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>%</w:t>
      </w:r>
      <w:r w:rsidR="00B86004" w:rsidRPr="00C116DA">
        <w:rPr>
          <w:rFonts w:ascii="Times New Roman" w:eastAsia="Times New Roman" w:hAnsi="Times New Roman" w:cs="Times New Roman"/>
          <w:sz w:val="24"/>
          <w:szCs w:val="24"/>
        </w:rPr>
        <w:t xml:space="preserve">. Снижение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 xml:space="preserve">обусловлено 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186" w:rsidRDefault="0073418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неналоговых доходов на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35,0</w:t>
      </w:r>
      <w:r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0D7453" w:rsidRDefault="000D7453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на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89,3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>%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F6D" w:rsidRDefault="00C33F6D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налоговые доходы в 2025 году прогнозируются с увеличением на 10,2% к ожидаемому исполнению 2024 года.</w:t>
      </w:r>
    </w:p>
    <w:p w:rsidR="00C33F6D" w:rsidRDefault="00734186" w:rsidP="005C6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плановый период 202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5C6FE7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 xml:space="preserve">увеличение налоговых доходов на 7,5%, а вот </w:t>
      </w:r>
      <w:r w:rsidR="005C6FE7">
        <w:rPr>
          <w:rFonts w:ascii="Times New Roman" w:eastAsia="Times New Roman" w:hAnsi="Times New Roman" w:cs="Times New Roman"/>
          <w:sz w:val="24"/>
          <w:szCs w:val="24"/>
        </w:rPr>
        <w:t>неналоговы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6FE7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ы и б</w:t>
      </w:r>
      <w:r w:rsidR="005C6FE7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6FE7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я прогнозируются в объеме предыдущего года.</w:t>
      </w:r>
    </w:p>
    <w:p w:rsidR="005C6FE7" w:rsidRPr="00377350" w:rsidRDefault="005C6FE7" w:rsidP="005C6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>увелич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налоговых доходов на </w:t>
      </w:r>
      <w:r w:rsidR="00C33F6D">
        <w:rPr>
          <w:rFonts w:ascii="Times New Roman" w:eastAsia="Times New Roman" w:hAnsi="Times New Roman" w:cs="Times New Roman"/>
          <w:sz w:val="24"/>
          <w:szCs w:val="24"/>
        </w:rPr>
        <w:t>7,1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34186">
        <w:rPr>
          <w:rFonts w:ascii="Times New Roman" w:eastAsia="Times New Roman" w:hAnsi="Times New Roman" w:cs="Times New Roman"/>
          <w:sz w:val="24"/>
          <w:szCs w:val="24"/>
        </w:rPr>
        <w:t>в сравнении с предыдущим периодом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неналоговые доходы и безвозмездные поступления соответствуют </w:t>
      </w:r>
      <w:r w:rsidRPr="00377350">
        <w:rPr>
          <w:rFonts w:ascii="Times New Roman" w:eastAsia="Times New Roman" w:hAnsi="Times New Roman" w:cs="Times New Roman"/>
          <w:sz w:val="24"/>
          <w:szCs w:val="24"/>
        </w:rPr>
        <w:t>объемам предыдущего года.</w:t>
      </w:r>
    </w:p>
    <w:p w:rsidR="00EC5966" w:rsidRPr="00377350" w:rsidRDefault="005C6FE7" w:rsidP="005C6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3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C5966" w:rsidRPr="0037735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структуры доходов бюджета</w:t>
      </w:r>
      <w:r w:rsidR="00A27B84" w:rsidRPr="003773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6D15" w:rsidRPr="00377350" w:rsidRDefault="00346D15" w:rsidP="00346D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735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062AE8" w:rsidRPr="003773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7350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909"/>
        <w:gridCol w:w="767"/>
        <w:gridCol w:w="874"/>
        <w:gridCol w:w="767"/>
        <w:gridCol w:w="874"/>
        <w:gridCol w:w="767"/>
        <w:gridCol w:w="874"/>
        <w:gridCol w:w="637"/>
        <w:gridCol w:w="30"/>
      </w:tblGrid>
      <w:tr w:rsidR="00A27B84" w:rsidRPr="00377350" w:rsidTr="00A27B84">
        <w:trPr>
          <w:trHeight w:val="2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377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 </w:t>
            </w:r>
            <w:r w:rsidR="005003A4"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377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377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3773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</w:t>
            </w:r>
            <w:proofErr w:type="spellEnd"/>
          </w:p>
          <w:p w:rsidR="00A27B84" w:rsidRPr="00377350" w:rsidRDefault="00A27B84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к-тура,%</w:t>
            </w:r>
          </w:p>
        </w:tc>
        <w:tc>
          <w:tcPr>
            <w:tcW w:w="30" w:type="dxa"/>
            <w:vAlign w:val="center"/>
            <w:hideMark/>
          </w:tcPr>
          <w:p w:rsidR="00A27B84" w:rsidRPr="00377350" w:rsidRDefault="00A27B84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84" w:rsidRPr="00377350" w:rsidTr="00A27B84">
        <w:trPr>
          <w:trHeight w:val="25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A27B84" w:rsidRPr="00377350" w:rsidRDefault="00A27B84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84" w:rsidRPr="00377350" w:rsidTr="00A27B84">
        <w:trPr>
          <w:trHeight w:val="25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B84" w:rsidRPr="00377350" w:rsidRDefault="00A27B8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A27B84" w:rsidRPr="00377350" w:rsidRDefault="00A27B84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C2" w:rsidRPr="00377350" w:rsidTr="0031675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C2" w:rsidRPr="00377350" w:rsidRDefault="007807C2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35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92290,2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99175,1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106195,2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30" w:type="dxa"/>
            <w:vAlign w:val="center"/>
            <w:hideMark/>
          </w:tcPr>
          <w:p w:rsidR="007807C2" w:rsidRPr="00377350" w:rsidRDefault="007807C2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C2" w:rsidRPr="00377350" w:rsidTr="0031675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C2" w:rsidRPr="00377350" w:rsidRDefault="007807C2" w:rsidP="008C17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350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30" w:type="dxa"/>
            <w:vAlign w:val="center"/>
            <w:hideMark/>
          </w:tcPr>
          <w:p w:rsidR="007807C2" w:rsidRPr="00377350" w:rsidRDefault="007807C2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C2" w:rsidRPr="00C116DA" w:rsidTr="0031675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C2" w:rsidRPr="00377350" w:rsidRDefault="007807C2" w:rsidP="008C17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350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113989,8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30" w:type="dxa"/>
            <w:vAlign w:val="center"/>
            <w:hideMark/>
          </w:tcPr>
          <w:p w:rsidR="007807C2" w:rsidRPr="00C116DA" w:rsidRDefault="007807C2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C2" w:rsidRPr="00C116DA" w:rsidTr="0031675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C2" w:rsidRPr="005D6732" w:rsidRDefault="007807C2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67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198807,4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105174,9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112059,8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119079,9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7C2" w:rsidRPr="007807C2" w:rsidRDefault="00780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07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7807C2" w:rsidRPr="00C116DA" w:rsidRDefault="007807C2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5966" w:rsidRPr="00C116DA" w:rsidRDefault="008E5DE3" w:rsidP="002470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E3">
        <w:rPr>
          <w:rFonts w:ascii="Times New Roman" w:eastAsia="Times New Roman" w:hAnsi="Times New Roman" w:cs="Times New Roman"/>
          <w:sz w:val="24"/>
          <w:szCs w:val="24"/>
        </w:rPr>
        <w:t xml:space="preserve"> Структура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 xml:space="preserve"> года и планового периода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 xml:space="preserve"> годов существенно  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 xml:space="preserve">отличается от структуры бюджета отчетного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E5D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налоговые доходы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87,7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увеличившись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 xml:space="preserve"> при этом 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к ожидаемому уровню </w:t>
      </w:r>
      <w:r w:rsidR="00612AA2"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93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в 2,1 раза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снижены в 5,9 раза,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 xml:space="preserve">их удельный вес составит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11,6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02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Доля неналоговых доходов бюджета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D83742">
        <w:rPr>
          <w:rFonts w:ascii="Times New Roman" w:eastAsia="Times New Roman" w:hAnsi="Times New Roman" w:cs="Times New Roman"/>
          <w:sz w:val="24"/>
          <w:szCs w:val="24"/>
        </w:rPr>
        <w:t>составит 0,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 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к ожидаемому уровню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5E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612AA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70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1452" w:rsidRPr="00C116D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C5966" w:rsidRPr="00C1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2AA2" w:rsidRDefault="00EC5966" w:rsidP="00612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года наибольший объем в структуре доходов 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занимат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налоговые доходы – </w:t>
      </w:r>
      <w:r w:rsidR="00446AD7">
        <w:rPr>
          <w:rFonts w:ascii="Times New Roman" w:eastAsia="Times New Roman" w:hAnsi="Times New Roman" w:cs="Times New Roman"/>
          <w:sz w:val="24"/>
          <w:szCs w:val="24"/>
        </w:rPr>
        <w:t>88,5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1577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6AD7">
        <w:rPr>
          <w:rFonts w:ascii="Times New Roman" w:eastAsia="Times New Roman" w:hAnsi="Times New Roman" w:cs="Times New Roman"/>
          <w:sz w:val="24"/>
          <w:szCs w:val="24"/>
        </w:rPr>
        <w:t>9,2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>еналоговы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CE00C3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составят </w:t>
      </w:r>
      <w:r w:rsidR="00446AD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5778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46A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>%</w:t>
      </w:r>
      <w:r w:rsidR="00446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 Безвозмездные поступления </w:t>
      </w:r>
      <w:r w:rsidR="00157780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с удельным весом </w:t>
      </w:r>
      <w:r w:rsidR="00333914">
        <w:rPr>
          <w:rFonts w:ascii="Times New Roman" w:eastAsia="Times New Roman" w:hAnsi="Times New Roman" w:cs="Times New Roman"/>
          <w:sz w:val="24"/>
          <w:szCs w:val="24"/>
        </w:rPr>
        <w:t>10,9</w:t>
      </w:r>
      <w:r w:rsidR="00612AA2" w:rsidRPr="00C11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33914">
        <w:rPr>
          <w:rFonts w:ascii="Times New Roman" w:eastAsia="Times New Roman" w:hAnsi="Times New Roman" w:cs="Times New Roman"/>
          <w:sz w:val="24"/>
          <w:szCs w:val="24"/>
        </w:rPr>
        <w:t>10,2</w:t>
      </w:r>
      <w:r w:rsidR="00157780">
        <w:rPr>
          <w:rFonts w:ascii="Times New Roman" w:eastAsia="Times New Roman" w:hAnsi="Times New Roman" w:cs="Times New Roman"/>
          <w:sz w:val="24"/>
          <w:szCs w:val="24"/>
        </w:rPr>
        <w:t>%</w:t>
      </w:r>
      <w:r w:rsidR="00612AA2" w:rsidRPr="00C116D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C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AA2" w:rsidRPr="00C116DA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612A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5F2" w:rsidRPr="00FB2016" w:rsidRDefault="00A965F2" w:rsidP="00A9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D6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Собственные доходы на </w:t>
      </w:r>
      <w:r w:rsidR="005003A4" w:rsidRPr="00EA72D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74075" w:rsidRPr="00EA72D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72D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сумме 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92992,2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8174,6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9,6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 w:rsidRPr="00EA72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72D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9E79C8" w:rsidRPr="00EA72D6">
        <w:rPr>
          <w:rFonts w:ascii="Times New Roman" w:eastAsia="Times New Roman" w:hAnsi="Times New Roman" w:cs="Times New Roman"/>
          <w:sz w:val="24"/>
          <w:szCs w:val="24"/>
        </w:rPr>
        <w:t xml:space="preserve"> В структуре доходов бюджета на </w:t>
      </w:r>
      <w:r w:rsidR="005003A4" w:rsidRPr="00EA72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79C8" w:rsidRPr="00EA72D6">
        <w:rPr>
          <w:rFonts w:ascii="Times New Roman" w:eastAsia="Times New Roman" w:hAnsi="Times New Roman" w:cs="Times New Roman"/>
          <w:sz w:val="24"/>
          <w:szCs w:val="24"/>
        </w:rPr>
        <w:t xml:space="preserve"> год собственные доходы занимают </w:t>
      </w:r>
      <w:r w:rsidR="00EA72D6">
        <w:rPr>
          <w:rFonts w:ascii="Times New Roman" w:eastAsia="Times New Roman" w:hAnsi="Times New Roman" w:cs="Times New Roman"/>
          <w:sz w:val="24"/>
          <w:szCs w:val="24"/>
        </w:rPr>
        <w:t>87,7</w:t>
      </w:r>
      <w:r w:rsidR="009E79C8" w:rsidRPr="00EA72D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C5966" w:rsidRPr="00C116DA" w:rsidRDefault="00EC5966" w:rsidP="00EC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20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Прогнозируемое поступление налоговых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1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неналоговых 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бюджета в </w:t>
      </w:r>
      <w:r w:rsidR="005003A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E3DD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5003A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E3DD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003A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E3DD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EC5966" w:rsidRPr="00C116DA" w:rsidRDefault="00EC5966" w:rsidP="00EC59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F831E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6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817"/>
        <w:gridCol w:w="758"/>
        <w:gridCol w:w="758"/>
        <w:gridCol w:w="758"/>
        <w:gridCol w:w="758"/>
        <w:gridCol w:w="878"/>
        <w:gridCol w:w="850"/>
        <w:gridCol w:w="709"/>
        <w:gridCol w:w="724"/>
        <w:gridCol w:w="693"/>
        <w:gridCol w:w="709"/>
      </w:tblGrid>
      <w:tr w:rsidR="00A21DFA" w:rsidRPr="009D78E8" w:rsidTr="00A03AE2">
        <w:trPr>
          <w:trHeight w:val="58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proofErr w:type="spellStart"/>
            <w:proofErr w:type="gramStart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бюд-жета</w:t>
            </w:r>
            <w:proofErr w:type="spellEnd"/>
            <w:proofErr w:type="gramEnd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2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2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Структура, %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2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2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A21DFA" w:rsidRPr="009D78E8" w:rsidTr="00A03AE2">
        <w:trPr>
          <w:trHeight w:val="25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right w:val="single" w:sz="4" w:space="0" w:color="auto"/>
            </w:tcBorders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DFA" w:rsidRPr="009D78E8" w:rsidRDefault="00A21DFA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DFA" w:rsidRPr="009D78E8" w:rsidRDefault="00A21DFA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C22714" w:rsidRPr="009D78E8" w:rsidTr="00A03AE2">
        <w:trPr>
          <w:trHeight w:val="10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2714" w:rsidRPr="009D78E8" w:rsidRDefault="00C22714" w:rsidP="00EC5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Pr="009D78E8" w:rsidRDefault="00C22714" w:rsidP="00C501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2714" w:rsidRPr="009D78E8" w:rsidRDefault="00C22714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Pr="009D78E8" w:rsidRDefault="00C22714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к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Default="00C22714" w:rsidP="00C501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  <w:p w:rsidR="00C22714" w:rsidRPr="009D78E8" w:rsidRDefault="00C22714" w:rsidP="00C227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Pr="009D78E8" w:rsidRDefault="00C22714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2714" w:rsidRPr="009D78E8" w:rsidRDefault="00C22714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Pr="009D78E8" w:rsidRDefault="00C22714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к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14" w:rsidRDefault="00C22714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  <w:r w:rsidRPr="009D7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  <w:p w:rsidR="00C22714" w:rsidRPr="009D78E8" w:rsidRDefault="00C22714" w:rsidP="005A13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1667B1" w:rsidRPr="009D78E8" w:rsidTr="00C501B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B1" w:rsidRPr="00A21DFA" w:rsidRDefault="001667B1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</w:t>
            </w:r>
            <w:r w:rsidRPr="00A21D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 неналоговые</w:t>
            </w:r>
          </w:p>
          <w:p w:rsidR="001667B1" w:rsidRPr="00A21DFA" w:rsidRDefault="001667B1" w:rsidP="001725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84817,6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92992,2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99877,1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106897,2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6884,9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7020,1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1667B1" w:rsidRPr="009D78E8" w:rsidTr="00C501BF">
        <w:trPr>
          <w:trHeight w:val="25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B1" w:rsidRPr="00A21DFA" w:rsidRDefault="001667B1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83737,0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92290,2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99175,1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106195,2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8553,2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6884,9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7020,1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110,2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107,1</w:t>
            </w:r>
          </w:p>
        </w:tc>
      </w:tr>
      <w:tr w:rsidR="001667B1" w:rsidRPr="009D78E8" w:rsidTr="00C501B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B1" w:rsidRPr="00A21DFA" w:rsidRDefault="001667B1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82615,0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88567,0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5952,0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107,2</w:t>
            </w:r>
          </w:p>
        </w:tc>
      </w:tr>
      <w:tr w:rsidR="001667B1" w:rsidRPr="009D78E8" w:rsidTr="00C501BF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B1" w:rsidRPr="00A21DFA" w:rsidRDefault="001667B1" w:rsidP="003F25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129,6</w:t>
            </w:r>
          </w:p>
        </w:tc>
      </w:tr>
      <w:tr w:rsidR="00500849" w:rsidRPr="009D78E8" w:rsidTr="00C501BF">
        <w:trPr>
          <w:trHeight w:val="4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49" w:rsidRPr="00A21DFA" w:rsidRDefault="00500849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667B1" w:rsidRPr="009D78E8" w:rsidTr="00C501BF">
        <w:trPr>
          <w:trHeight w:val="4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B1" w:rsidRPr="00A21DFA" w:rsidRDefault="001667B1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6711,0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6987,0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7917,0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</w:t>
            </w:r>
          </w:p>
        </w:tc>
      </w:tr>
      <w:tr w:rsidR="001667B1" w:rsidRPr="009D78E8" w:rsidTr="00C501BF">
        <w:trPr>
          <w:trHeight w:val="43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7B1" w:rsidRPr="00A21DFA" w:rsidRDefault="001667B1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4873,0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5174,0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5226,1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500849" w:rsidRPr="009D78E8" w:rsidTr="00C501BF">
        <w:trPr>
          <w:trHeight w:val="76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49" w:rsidRPr="00A21DFA" w:rsidRDefault="00500849" w:rsidP="00E64C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667B1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B1" w:rsidRPr="00A21DFA" w:rsidRDefault="001667B1" w:rsidP="004824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667B1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B1" w:rsidRPr="00A21DFA" w:rsidRDefault="001667B1" w:rsidP="00416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00849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49" w:rsidRPr="00A21DFA" w:rsidRDefault="00500849" w:rsidP="00A06A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667B1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B1" w:rsidRPr="00A21DFA" w:rsidRDefault="001667B1" w:rsidP="004824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1667B1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7B1" w:rsidRPr="00A21DFA" w:rsidRDefault="001667B1" w:rsidP="004824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D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7B1" w:rsidRPr="00B70CCC" w:rsidRDefault="001667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00849" w:rsidRPr="009D78E8" w:rsidTr="00C501BF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849" w:rsidRPr="00A21DFA" w:rsidRDefault="00500849" w:rsidP="006D02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849" w:rsidRPr="00B70CCC" w:rsidRDefault="00500849" w:rsidP="005A13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C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A965F2" w:rsidRPr="005A1396" w:rsidRDefault="00A965F2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6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A72D6" w:rsidRPr="005A13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сумме </w:t>
      </w:r>
      <w:r w:rsidR="00EA72D6" w:rsidRPr="005A1396">
        <w:rPr>
          <w:rFonts w:ascii="Times New Roman" w:eastAsia="Times New Roman" w:hAnsi="Times New Roman" w:cs="Times New Roman"/>
          <w:sz w:val="24"/>
          <w:szCs w:val="24"/>
        </w:rPr>
        <w:t>92290,2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8553,2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10,2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A4A01" w:rsidRPr="005A139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F15E16" w:rsidRPr="005A1396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в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5E16"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году за</w:t>
      </w:r>
      <w:r w:rsidR="002F23DA" w:rsidRPr="005A1396">
        <w:rPr>
          <w:rFonts w:ascii="Times New Roman" w:eastAsia="Times New Roman" w:hAnsi="Times New Roman" w:cs="Times New Roman"/>
          <w:sz w:val="24"/>
          <w:szCs w:val="24"/>
        </w:rPr>
        <w:t>ймут</w:t>
      </w:r>
      <w:r w:rsidR="00F15E16"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99,2</w:t>
      </w:r>
      <w:r w:rsidR="00F15E16" w:rsidRPr="005A139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41E89" w:rsidRPr="00C41E89" w:rsidRDefault="00EC5966" w:rsidP="00261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Основную долю </w:t>
      </w:r>
      <w:r w:rsidR="00F15E16" w:rsidRPr="005A1396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в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году по</w:t>
      </w:r>
      <w:r w:rsidR="00CA736E"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прежнему будет составлять налог </w:t>
      </w:r>
      <w:r w:rsidRPr="005A1396">
        <w:rPr>
          <w:rFonts w:ascii="Times New Roman" w:eastAsia="Times New Roman" w:hAnsi="Times New Roman" w:cs="Times New Roman"/>
          <w:b/>
          <w:sz w:val="24"/>
          <w:szCs w:val="24"/>
        </w:rPr>
        <w:t>на доходы физических лиц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61B40"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77000,0</w:t>
      </w:r>
      <w:r w:rsidR="007B532E"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6E" w:rsidRPr="005A1396">
        <w:rPr>
          <w:rFonts w:ascii="Times New Roman" w:eastAsia="Times New Roman" w:hAnsi="Times New Roman" w:cs="Times New Roman"/>
          <w:sz w:val="24"/>
          <w:szCs w:val="24"/>
        </w:rPr>
        <w:t>тыс. рублей,</w:t>
      </w:r>
      <w:r w:rsidR="007B532E" w:rsidRPr="005A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6E" w:rsidRPr="005A139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83,4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261B40" w:rsidRPr="005A13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5A1396">
        <w:rPr>
          <w:rFonts w:ascii="Times New Roman" w:eastAsia="Times New Roman" w:hAnsi="Times New Roman" w:cs="Times New Roman"/>
          <w:bCs/>
          <w:sz w:val="24"/>
          <w:szCs w:val="24"/>
        </w:rPr>
        <w:t>налога на доходы физических лиц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  в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61B40" w:rsidRPr="005A13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на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7000,0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года. Расчет доходов бюджета по налогу на доходы физических лиц произведен исходя из ожидаемой оценки поступления налога в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году, скорректированных на темпы роста фонда оплаты труда на </w:t>
      </w:r>
      <w:r w:rsidR="005003A4" w:rsidRPr="005A13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396">
        <w:rPr>
          <w:rFonts w:ascii="Times New Roman" w:eastAsia="Times New Roman" w:hAnsi="Times New Roman" w:cs="Times New Roman"/>
          <w:sz w:val="24"/>
          <w:szCs w:val="24"/>
        </w:rPr>
        <w:t xml:space="preserve"> год, а так же норматива отчислений налога в бюджет</w:t>
      </w:r>
      <w:r w:rsidR="00C41E89" w:rsidRPr="005A1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C116DA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89">
        <w:rPr>
          <w:rFonts w:ascii="Times New Roman" w:eastAsia="Times New Roman" w:hAnsi="Times New Roman" w:cs="Times New Roman"/>
          <w:sz w:val="24"/>
          <w:szCs w:val="24"/>
        </w:rPr>
        <w:t xml:space="preserve">Темп роста налога на доходы физических лиц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C41E89">
        <w:rPr>
          <w:rFonts w:ascii="Times New Roman" w:eastAsia="Times New Roman" w:hAnsi="Times New Roman" w:cs="Times New Roman"/>
          <w:sz w:val="24"/>
          <w:szCs w:val="24"/>
        </w:rPr>
        <w:t>годах к предыдущему году составляет</w:t>
      </w:r>
      <w:r w:rsidR="00415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7,3</w:t>
      </w:r>
      <w:r w:rsidR="004158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036B2">
        <w:rPr>
          <w:rFonts w:ascii="Times New Roman" w:eastAsia="Times New Roman" w:hAnsi="Times New Roman" w:cs="Times New Roman"/>
          <w:sz w:val="24"/>
          <w:szCs w:val="24"/>
        </w:rPr>
        <w:t>7,2</w:t>
      </w:r>
      <w:r w:rsidRPr="00C41E89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C5966" w:rsidRDefault="00EC5966" w:rsidP="00B67877">
      <w:pPr>
        <w:pStyle w:val="23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6DA">
        <w:rPr>
          <w:rFonts w:ascii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C116DA">
        <w:rPr>
          <w:rFonts w:ascii="Times New Roman" w:hAnsi="Times New Roman" w:cs="Times New Roman"/>
          <w:b/>
          <w:bCs/>
          <w:sz w:val="24"/>
          <w:szCs w:val="24"/>
        </w:rPr>
        <w:t>акцизов по подакцизным товарам (продукции), производимых на территории РФ</w:t>
      </w:r>
      <w:r w:rsidRPr="00C116DA">
        <w:rPr>
          <w:rFonts w:ascii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hAnsi="Times New Roman" w:cs="Times New Roman"/>
          <w:sz w:val="24"/>
          <w:szCs w:val="24"/>
        </w:rPr>
        <w:t>202</w:t>
      </w:r>
      <w:r w:rsidR="003221C6">
        <w:rPr>
          <w:rFonts w:ascii="Times New Roman" w:hAnsi="Times New Roman" w:cs="Times New Roman"/>
          <w:sz w:val="24"/>
          <w:szCs w:val="24"/>
        </w:rPr>
        <w:t>5</w:t>
      </w:r>
      <w:r w:rsidRPr="00B67877">
        <w:rPr>
          <w:rFonts w:ascii="Times New Roman" w:hAnsi="Times New Roman" w:cs="Times New Roman"/>
          <w:sz w:val="24"/>
          <w:szCs w:val="24"/>
        </w:rPr>
        <w:t xml:space="preserve"> год рассчитан исходя из </w:t>
      </w:r>
      <w:r w:rsidR="00B67877" w:rsidRPr="00B67877">
        <w:rPr>
          <w:rFonts w:ascii="Times New Roman" w:hAnsi="Times New Roman" w:cs="Times New Roman"/>
          <w:sz w:val="24"/>
          <w:szCs w:val="24"/>
        </w:rPr>
        <w:t>прогнозируемого объема акцизов, подлежащих распределению между муниципальными образованиями Брянской области</w:t>
      </w:r>
      <w:r w:rsidR="000C781C">
        <w:rPr>
          <w:rFonts w:ascii="Times New Roman" w:hAnsi="Times New Roman" w:cs="Times New Roman"/>
          <w:sz w:val="24"/>
          <w:szCs w:val="24"/>
        </w:rPr>
        <w:t xml:space="preserve">. </w:t>
      </w:r>
      <w:r w:rsidR="00B67877" w:rsidRPr="00B67877">
        <w:rPr>
          <w:rFonts w:ascii="Times New Roman" w:hAnsi="Times New Roman" w:cs="Times New Roman"/>
          <w:sz w:val="24"/>
          <w:szCs w:val="24"/>
        </w:rPr>
        <w:t xml:space="preserve"> </w:t>
      </w:r>
      <w:r w:rsidR="000C781C" w:rsidRPr="000C781C">
        <w:rPr>
          <w:rFonts w:ascii="Times New Roman" w:eastAsia="Times New Roman" w:hAnsi="Times New Roman" w:cs="Times New Roman"/>
          <w:sz w:val="24"/>
          <w:szCs w:val="28"/>
        </w:rPr>
        <w:t>С учетом факторов изменения законодательства и норматива отчислений (0,06</w:t>
      </w:r>
      <w:r w:rsidR="003221C6">
        <w:rPr>
          <w:rFonts w:ascii="Times New Roman" w:eastAsia="Times New Roman" w:hAnsi="Times New Roman" w:cs="Times New Roman"/>
          <w:sz w:val="24"/>
          <w:szCs w:val="28"/>
        </w:rPr>
        <w:t>4</w:t>
      </w:r>
      <w:r w:rsidR="00E72C15">
        <w:rPr>
          <w:rFonts w:ascii="Times New Roman" w:eastAsia="Times New Roman" w:hAnsi="Times New Roman" w:cs="Times New Roman"/>
          <w:sz w:val="24"/>
          <w:szCs w:val="28"/>
        </w:rPr>
        <w:t>1</w:t>
      </w:r>
      <w:r w:rsidR="000C781C" w:rsidRPr="000C781C">
        <w:rPr>
          <w:rFonts w:ascii="Times New Roman" w:eastAsia="Times New Roman" w:hAnsi="Times New Roman" w:cs="Times New Roman"/>
          <w:sz w:val="24"/>
          <w:szCs w:val="28"/>
        </w:rPr>
        <w:t xml:space="preserve"> %) поступления доходов от уплаты акцизов  на нефтепродукты в </w:t>
      </w:r>
      <w:r w:rsidR="005003A4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8"/>
        </w:rPr>
        <w:t>5</w:t>
      </w:r>
      <w:r w:rsidR="000C781C" w:rsidRPr="000C781C">
        <w:rPr>
          <w:rFonts w:ascii="Times New Roman" w:eastAsia="Times New Roman" w:hAnsi="Times New Roman" w:cs="Times New Roman"/>
          <w:sz w:val="24"/>
          <w:szCs w:val="28"/>
        </w:rPr>
        <w:t xml:space="preserve"> году в целом </w:t>
      </w:r>
      <w:r w:rsidR="000C781C" w:rsidRPr="00CD40A1">
        <w:rPr>
          <w:rFonts w:ascii="Times New Roman" w:eastAsia="Times New Roman" w:hAnsi="Times New Roman" w:cs="Times New Roman"/>
          <w:sz w:val="24"/>
          <w:szCs w:val="28"/>
        </w:rPr>
        <w:t xml:space="preserve">планируются в сумме </w:t>
      </w:r>
      <w:r w:rsidR="003221C6">
        <w:rPr>
          <w:rFonts w:ascii="Times New Roman" w:eastAsia="Times New Roman" w:hAnsi="Times New Roman" w:cs="Times New Roman"/>
          <w:sz w:val="24"/>
          <w:szCs w:val="28"/>
        </w:rPr>
        <w:t>3430,2</w:t>
      </w:r>
      <w:r w:rsidRPr="00CD40A1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3221C6">
        <w:rPr>
          <w:rFonts w:ascii="Times New Roman" w:hAnsi="Times New Roman" w:cs="Times New Roman"/>
          <w:sz w:val="24"/>
          <w:szCs w:val="24"/>
        </w:rPr>
        <w:t>277,2</w:t>
      </w:r>
      <w:r w:rsidRPr="00CD40A1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3221C6">
        <w:rPr>
          <w:rFonts w:ascii="Times New Roman" w:hAnsi="Times New Roman" w:cs="Times New Roman"/>
          <w:sz w:val="24"/>
          <w:szCs w:val="24"/>
        </w:rPr>
        <w:t>8,8</w:t>
      </w:r>
      <w:r w:rsidRPr="00CD40A1">
        <w:rPr>
          <w:rFonts w:ascii="Times New Roman" w:hAnsi="Times New Roman" w:cs="Times New Roman"/>
          <w:sz w:val="24"/>
          <w:szCs w:val="24"/>
        </w:rPr>
        <w:t xml:space="preserve">% </w:t>
      </w:r>
      <w:r w:rsidR="00E72C15">
        <w:rPr>
          <w:rFonts w:ascii="Times New Roman" w:hAnsi="Times New Roman" w:cs="Times New Roman"/>
          <w:sz w:val="24"/>
          <w:szCs w:val="24"/>
        </w:rPr>
        <w:t>выше</w:t>
      </w:r>
      <w:r w:rsidRPr="00CD40A1">
        <w:rPr>
          <w:rFonts w:ascii="Times New Roman" w:hAnsi="Times New Roman" w:cs="Times New Roman"/>
          <w:sz w:val="24"/>
          <w:szCs w:val="24"/>
        </w:rPr>
        <w:t xml:space="preserve"> ожидаемо</w:t>
      </w:r>
      <w:r w:rsidR="00E72C15">
        <w:rPr>
          <w:rFonts w:ascii="Times New Roman" w:hAnsi="Times New Roman" w:cs="Times New Roman"/>
          <w:sz w:val="24"/>
          <w:szCs w:val="24"/>
        </w:rPr>
        <w:t xml:space="preserve">й оценки </w:t>
      </w:r>
      <w:r w:rsidRPr="00CD40A1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5003A4">
        <w:rPr>
          <w:rFonts w:ascii="Times New Roman" w:hAnsi="Times New Roman" w:cs="Times New Roman"/>
          <w:sz w:val="24"/>
          <w:szCs w:val="24"/>
        </w:rPr>
        <w:t>202</w:t>
      </w:r>
      <w:r w:rsidR="003221C6">
        <w:rPr>
          <w:rFonts w:ascii="Times New Roman" w:hAnsi="Times New Roman" w:cs="Times New Roman"/>
          <w:sz w:val="24"/>
          <w:szCs w:val="24"/>
        </w:rPr>
        <w:t>4</w:t>
      </w:r>
      <w:r w:rsidR="00CA736E" w:rsidRPr="00CD40A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40A1">
        <w:rPr>
          <w:rFonts w:ascii="Times New Roman" w:hAnsi="Times New Roman" w:cs="Times New Roman"/>
          <w:sz w:val="24"/>
          <w:szCs w:val="24"/>
        </w:rPr>
        <w:t>. В</w:t>
      </w:r>
      <w:r w:rsidRPr="00B67877">
        <w:rPr>
          <w:rFonts w:ascii="Times New Roman" w:hAnsi="Times New Roman" w:cs="Times New Roman"/>
          <w:sz w:val="24"/>
          <w:szCs w:val="24"/>
        </w:rPr>
        <w:t xml:space="preserve"> структуре </w:t>
      </w:r>
      <w:r w:rsidR="00F15E16">
        <w:rPr>
          <w:rFonts w:ascii="Times New Roman" w:hAnsi="Times New Roman" w:cs="Times New Roman"/>
          <w:sz w:val="24"/>
          <w:szCs w:val="24"/>
        </w:rPr>
        <w:t>налоговых</w:t>
      </w:r>
      <w:r w:rsidRPr="00B67877">
        <w:rPr>
          <w:rFonts w:ascii="Times New Roman" w:hAnsi="Times New Roman" w:cs="Times New Roman"/>
          <w:sz w:val="24"/>
          <w:szCs w:val="24"/>
        </w:rPr>
        <w:t xml:space="preserve"> доходов бюджета на долю акцизов</w:t>
      </w:r>
      <w:r w:rsidRPr="00C116DA">
        <w:rPr>
          <w:rFonts w:ascii="Times New Roman" w:hAnsi="Times New Roman" w:cs="Times New Roman"/>
          <w:sz w:val="24"/>
          <w:szCs w:val="24"/>
        </w:rPr>
        <w:t xml:space="preserve"> по подакцизным товарам (продукции), производимых на территории РФ в </w:t>
      </w:r>
      <w:r w:rsidR="005003A4">
        <w:rPr>
          <w:rFonts w:ascii="Times New Roman" w:hAnsi="Times New Roman" w:cs="Times New Roman"/>
          <w:sz w:val="24"/>
          <w:szCs w:val="24"/>
        </w:rPr>
        <w:t>202</w:t>
      </w:r>
      <w:r w:rsidR="003221C6">
        <w:rPr>
          <w:rFonts w:ascii="Times New Roman" w:hAnsi="Times New Roman" w:cs="Times New Roman"/>
          <w:sz w:val="24"/>
          <w:szCs w:val="24"/>
        </w:rPr>
        <w:t xml:space="preserve">5 </w:t>
      </w:r>
      <w:r w:rsidRPr="00C116DA">
        <w:rPr>
          <w:rFonts w:ascii="Times New Roman" w:hAnsi="Times New Roman" w:cs="Times New Roman"/>
          <w:sz w:val="24"/>
          <w:szCs w:val="24"/>
        </w:rPr>
        <w:t xml:space="preserve">году приходится </w:t>
      </w:r>
      <w:r w:rsidR="003221C6">
        <w:rPr>
          <w:rFonts w:ascii="Times New Roman" w:hAnsi="Times New Roman" w:cs="Times New Roman"/>
          <w:sz w:val="24"/>
          <w:szCs w:val="24"/>
        </w:rPr>
        <w:t>3,7</w:t>
      </w:r>
      <w:r w:rsidRPr="00C116DA">
        <w:rPr>
          <w:rFonts w:ascii="Times New Roman" w:hAnsi="Times New Roman" w:cs="Times New Roman"/>
          <w:sz w:val="24"/>
          <w:szCs w:val="24"/>
        </w:rPr>
        <w:t>%.</w:t>
      </w:r>
    </w:p>
    <w:p w:rsidR="00EC5966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Темп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акцизов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1,1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29,6%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F15E16" w:rsidRPr="00C116DA" w:rsidRDefault="00EC5966" w:rsidP="00F15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 рассчитан в сумме </w:t>
      </w:r>
      <w:r w:rsidR="003156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987,0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 что выше ожидаемо</w:t>
      </w:r>
      <w:r w:rsidR="00315642">
        <w:rPr>
          <w:rFonts w:ascii="Times New Roman" w:eastAsia="Times New Roman" w:hAnsi="Times New Roman" w:cs="Times New Roman"/>
          <w:sz w:val="24"/>
          <w:szCs w:val="24"/>
        </w:rPr>
        <w:t>й оценки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31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276,0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4,1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D7503" w:rsidRPr="001D7503" w:rsidRDefault="001D7503" w:rsidP="001D7503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Прогноз налога на имущество физических лиц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 год рассчитан </w:t>
      </w:r>
      <w:proofErr w:type="gramStart"/>
      <w:r w:rsidRPr="001D7503">
        <w:rPr>
          <w:rFonts w:ascii="Times New Roman" w:eastAsia="Times New Roman" w:hAnsi="Times New Roman" w:cs="Times New Roman"/>
          <w:sz w:val="24"/>
          <w:szCs w:val="24"/>
        </w:rPr>
        <w:t>исходя из показателей налоговой базы, определенных на основе положений Налогового кодекса Российской Федерации, Решений Совета народных депутатов города Суража, в соответствии с которыми налогообложение имущества физических лиц осуществляться</w:t>
      </w:r>
      <w:proofErr w:type="gramEnd"/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 исходя из кадастровой стоимости объектов недвижимости. </w:t>
      </w:r>
    </w:p>
    <w:p w:rsidR="001D7503" w:rsidRPr="001D7503" w:rsidRDefault="001D7503" w:rsidP="001D7503">
      <w:pPr>
        <w:spacing w:before="100" w:beforeAutospacing="1" w:after="100" w:afterAutospacing="1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В основу расчета прогноза налога на имущество физических лиц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 год использованы сведения о начисленных налоговыми органами суммах налога на имущество физических лиц, представленные Управлением ФНС России по Брянской области, а также учитывались поступления от погашения части задолженности по налогу.</w:t>
      </w:r>
    </w:p>
    <w:p w:rsidR="001D7503" w:rsidRPr="001D7503" w:rsidRDefault="001D7503" w:rsidP="001D750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03">
        <w:rPr>
          <w:rFonts w:ascii="Times New Roman" w:eastAsia="Times New Roman" w:hAnsi="Times New Roman" w:cs="Times New Roman"/>
          <w:sz w:val="24"/>
          <w:szCs w:val="24"/>
        </w:rPr>
        <w:t xml:space="preserve">Расчет налога произведен исходя из норматива отчислений, установленного Бюджетным кодексом Российской Федерации (100 процентов). </w:t>
      </w:r>
    </w:p>
    <w:p w:rsidR="00EC5966" w:rsidRPr="00C116DA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E16" w:rsidRPr="00B67877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F15E16">
        <w:rPr>
          <w:rFonts w:ascii="Times New Roman" w:hAnsi="Times New Roman" w:cs="Times New Roman"/>
          <w:sz w:val="24"/>
          <w:szCs w:val="24"/>
        </w:rPr>
        <w:t>налоговых</w:t>
      </w:r>
      <w:r w:rsidR="00F15E16" w:rsidRPr="00B67877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F15E16">
        <w:rPr>
          <w:rFonts w:ascii="Times New Roman" w:hAnsi="Times New Roman" w:cs="Times New Roman"/>
          <w:sz w:val="24"/>
          <w:szCs w:val="24"/>
        </w:rPr>
        <w:t xml:space="preserve"> данный вид дохода занимает </w:t>
      </w:r>
      <w:r w:rsidR="003221C6">
        <w:rPr>
          <w:rFonts w:ascii="Times New Roman" w:hAnsi="Times New Roman" w:cs="Times New Roman"/>
          <w:sz w:val="24"/>
          <w:szCs w:val="24"/>
        </w:rPr>
        <w:t>7,6</w:t>
      </w:r>
      <w:r w:rsidR="00F15E16">
        <w:rPr>
          <w:rFonts w:ascii="Times New Roman" w:hAnsi="Times New Roman" w:cs="Times New Roman"/>
          <w:sz w:val="24"/>
          <w:szCs w:val="24"/>
        </w:rPr>
        <w:t xml:space="preserve">%.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Темп роста налога на имущество физических лиц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13,3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EC5966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C116DA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год рассчитан</w:t>
      </w:r>
      <w:r w:rsidR="00C855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в сумме 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487,0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1000,0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25,8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выше ожидаемого уровня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21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5E16" w:rsidRPr="00B67877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F15E16">
        <w:rPr>
          <w:rFonts w:ascii="Times New Roman" w:hAnsi="Times New Roman" w:cs="Times New Roman"/>
          <w:sz w:val="24"/>
          <w:szCs w:val="24"/>
        </w:rPr>
        <w:t>налоговых</w:t>
      </w:r>
      <w:r w:rsidR="00F15E16" w:rsidRPr="00B67877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F15E16">
        <w:rPr>
          <w:rFonts w:ascii="Times New Roman" w:hAnsi="Times New Roman" w:cs="Times New Roman"/>
          <w:sz w:val="24"/>
          <w:szCs w:val="24"/>
        </w:rPr>
        <w:t xml:space="preserve"> данный </w:t>
      </w:r>
      <w:r w:rsidR="00F15E16">
        <w:rPr>
          <w:rFonts w:ascii="Times New Roman" w:hAnsi="Times New Roman" w:cs="Times New Roman"/>
          <w:sz w:val="24"/>
          <w:szCs w:val="24"/>
        </w:rPr>
        <w:lastRenderedPageBreak/>
        <w:t xml:space="preserve">вид дохода занимает </w:t>
      </w:r>
      <w:r w:rsidR="003221C6">
        <w:rPr>
          <w:rFonts w:ascii="Times New Roman" w:hAnsi="Times New Roman" w:cs="Times New Roman"/>
          <w:sz w:val="24"/>
          <w:szCs w:val="24"/>
        </w:rPr>
        <w:t>5,3</w:t>
      </w:r>
      <w:r w:rsidR="00F15E16">
        <w:rPr>
          <w:rFonts w:ascii="Times New Roman" w:hAnsi="Times New Roman" w:cs="Times New Roman"/>
          <w:sz w:val="24"/>
          <w:szCs w:val="24"/>
        </w:rPr>
        <w:t xml:space="preserve">%.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Темп роста земельного налога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6,2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D7740" w:rsidRPr="00BD7740" w:rsidRDefault="00BD7740" w:rsidP="00BD7740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7740">
        <w:rPr>
          <w:rFonts w:ascii="Times New Roman" w:eastAsia="Times New Roman" w:hAnsi="Times New Roman" w:cs="Times New Roman"/>
          <w:sz w:val="24"/>
          <w:szCs w:val="24"/>
        </w:rPr>
        <w:t>Прогнозирование поступлений по земельному налогу осуществлялось на основе  сведений о начисленных суммах,  представленных Управлением ФНС России по Брянской области, с учетом собираемости налога, с учетом кадастровой стоимости земли,  а также ожидаемых результатов по погашению задолженности.</w:t>
      </w:r>
    </w:p>
    <w:p w:rsidR="00BD7740" w:rsidRPr="00BD7740" w:rsidRDefault="00BD7740" w:rsidP="00BD7740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40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Расчет налога произведен, исходя из норматива отчислений, установленного Бюджетным кодексом Российской Федерации (100 процентов). </w:t>
      </w:r>
    </w:p>
    <w:p w:rsidR="009F2011" w:rsidRPr="00663741" w:rsidRDefault="00EC5966" w:rsidP="009F2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41">
        <w:rPr>
          <w:rFonts w:ascii="Times New Roman" w:eastAsia="Times New Roman" w:hAnsi="Times New Roman" w:cs="Times New Roman"/>
          <w:b/>
          <w:sz w:val="24"/>
          <w:szCs w:val="24"/>
        </w:rPr>
        <w:t xml:space="preserve">Неналоговые доходы бюджета на </w:t>
      </w:r>
      <w:r w:rsidR="005003A4" w:rsidRPr="0066374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37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702,0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A7D8A" w:rsidRPr="00663741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 w:rsidRPr="0066374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374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378,6</w:t>
      </w:r>
      <w:r w:rsidR="00FA6FA9" w:rsidRPr="00663741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>ыс. рублей</w:t>
      </w:r>
      <w:r w:rsidR="001119A8" w:rsidRPr="00663741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на 35,0%</w:t>
      </w:r>
      <w:r w:rsidR="001119A8" w:rsidRPr="00663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A8" w:rsidRPr="00663741">
        <w:rPr>
          <w:rFonts w:ascii="Times New Roman" w:eastAsia="Times New Roman" w:hAnsi="Times New Roman" w:cs="Times New Roman"/>
          <w:sz w:val="24"/>
          <w:szCs w:val="24"/>
        </w:rPr>
        <w:t>плановом периоде</w:t>
      </w:r>
      <w:r w:rsidRPr="0066374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2026-2027 годов доходы планируются в том же объеме.</w:t>
      </w:r>
      <w:r w:rsidR="009F2011" w:rsidRPr="00663741">
        <w:rPr>
          <w:rFonts w:ascii="Times New Roman" w:hAnsi="Times New Roman" w:cs="Times New Roman"/>
          <w:sz w:val="24"/>
          <w:szCs w:val="24"/>
        </w:rPr>
        <w:t xml:space="preserve"> В структуре собственных доходов бюджета неналоговые  занимают</w:t>
      </w:r>
      <w:proofErr w:type="gramStart"/>
      <w:r w:rsidR="00E42E2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42E2A">
        <w:rPr>
          <w:rFonts w:ascii="Times New Roman" w:hAnsi="Times New Roman" w:cs="Times New Roman"/>
          <w:sz w:val="24"/>
          <w:szCs w:val="24"/>
        </w:rPr>
        <w:t>,8</w:t>
      </w:r>
      <w:r w:rsidR="009F2011" w:rsidRPr="00663741">
        <w:rPr>
          <w:rFonts w:ascii="Times New Roman" w:hAnsi="Times New Roman" w:cs="Times New Roman"/>
          <w:sz w:val="24"/>
          <w:szCs w:val="24"/>
        </w:rPr>
        <w:t>%.</w:t>
      </w:r>
    </w:p>
    <w:p w:rsidR="00126908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4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доходов, от использования имущества, находящегося в государственной и муниципальной  собственности 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сумме </w:t>
      </w:r>
      <w:r w:rsidR="00D92A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30B9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A430B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 w:rsidRPr="00E7576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150,0</w:t>
      </w:r>
      <w:r w:rsidR="00E7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30,0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%. В структуре </w:t>
      </w:r>
      <w:r w:rsidR="00126908"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году составят </w:t>
      </w:r>
      <w:r w:rsidR="00D92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D92A49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EC5966" w:rsidRPr="00E75769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Прогноз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 исходя из сведений комитета по управлению муниципальным имуществом администрации Суражского района. </w:t>
      </w:r>
      <w:r w:rsidR="009501D4" w:rsidRPr="009501D4">
        <w:rPr>
          <w:rFonts w:ascii="Times New Roman" w:eastAsia="Times New Roman" w:hAnsi="Times New Roman" w:cs="Times New Roman"/>
          <w:sz w:val="24"/>
          <w:szCs w:val="24"/>
        </w:rPr>
        <w:t xml:space="preserve">Расчет произведен, исходя из норматива отчислений, установленного Бюджетным кодексом Российской Федерации (50 процентов). 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Темп </w:t>
      </w:r>
      <w:r w:rsidR="003E1015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 доходов, от использования имущества, находящегося в государственной и муниципальной  собственности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3E1015">
        <w:rPr>
          <w:rFonts w:ascii="Times New Roman" w:eastAsia="Times New Roman" w:hAnsi="Times New Roman" w:cs="Times New Roman"/>
          <w:sz w:val="24"/>
          <w:szCs w:val="24"/>
        </w:rPr>
        <w:t>(-</w:t>
      </w:r>
      <w:r w:rsidR="00D92A49">
        <w:rPr>
          <w:rFonts w:ascii="Times New Roman" w:eastAsia="Times New Roman" w:hAnsi="Times New Roman" w:cs="Times New Roman"/>
          <w:sz w:val="24"/>
          <w:szCs w:val="24"/>
        </w:rPr>
        <w:t>14,3</w:t>
      </w:r>
      <w:r w:rsidR="003E1015">
        <w:rPr>
          <w:rFonts w:ascii="Times New Roman" w:eastAsia="Times New Roman" w:hAnsi="Times New Roman" w:cs="Times New Roman"/>
          <w:sz w:val="24"/>
          <w:szCs w:val="24"/>
        </w:rPr>
        <w:t>)%</w:t>
      </w:r>
      <w:r w:rsidR="00A430B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92A49">
        <w:rPr>
          <w:rFonts w:ascii="Times New Roman" w:eastAsia="Times New Roman" w:hAnsi="Times New Roman" w:cs="Times New Roman"/>
          <w:sz w:val="24"/>
          <w:szCs w:val="24"/>
        </w:rPr>
        <w:t xml:space="preserve"> 0,0</w:t>
      </w: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26908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69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E75769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доходов, от продажи материальных</w:t>
      </w: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нематериальных активов  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FA6083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в сумме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>00,0</w:t>
      </w:r>
      <w:r w:rsidRPr="00FA6083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 xml:space="preserve">150,0 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или на 27,3%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32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 xml:space="preserve"> ож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идаемо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A3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В структуре </w:t>
      </w:r>
      <w:r w:rsidR="00126908"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бюджета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году составят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57,0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C5966" w:rsidRDefault="00EC5966" w:rsidP="00EC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Прогноз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 исходя из сведений комитета по управлению муниципальным имуществом администрации Суражского района. Темп </w:t>
      </w:r>
      <w:r w:rsidR="005874AA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доходов, от продажи материальных и нематериальных активов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годах к предыдущему году составляет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E2A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874AA" w:rsidRPr="005445FC" w:rsidRDefault="005874AA" w:rsidP="00587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1119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6958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695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6E4532">
        <w:rPr>
          <w:rFonts w:ascii="Times New Roman" w:eastAsia="Times New Roman" w:hAnsi="Times New Roman" w:cs="Times New Roman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6E45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16D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453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28,6</w:t>
      </w:r>
      <w:r w:rsidR="006E453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в 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15,3</w:t>
      </w:r>
      <w:r w:rsidR="006E4532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плановом периоде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годов </w:t>
      </w:r>
      <w:r w:rsidR="00F447C2">
        <w:rPr>
          <w:rFonts w:ascii="Times New Roman" w:eastAsia="Times New Roman" w:hAnsi="Times New Roman" w:cs="Times New Roman"/>
          <w:sz w:val="24"/>
          <w:szCs w:val="24"/>
        </w:rPr>
        <w:t xml:space="preserve">доходы по источнику </w:t>
      </w:r>
      <w:r w:rsidRPr="005445FC">
        <w:rPr>
          <w:rFonts w:ascii="Times New Roman" w:eastAsia="Times New Roman" w:hAnsi="Times New Roman" w:cs="Times New Roman"/>
          <w:sz w:val="24"/>
          <w:szCs w:val="24"/>
        </w:rPr>
        <w:t>прогнозируются на уровне 202</w:t>
      </w:r>
      <w:r w:rsidR="00F447C2" w:rsidRPr="005445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45F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C5966" w:rsidRPr="005445FC" w:rsidRDefault="00EC5966" w:rsidP="00EC59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5FC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в </w:t>
      </w:r>
      <w:r w:rsidR="005003A4" w:rsidRPr="005445FC">
        <w:rPr>
          <w:rFonts w:ascii="Times New Roman" w:hAnsi="Times New Roman" w:cs="Times New Roman"/>
          <w:b/>
          <w:sz w:val="24"/>
          <w:szCs w:val="24"/>
        </w:rPr>
        <w:t>202</w:t>
      </w:r>
      <w:r w:rsidR="00DA2FB5">
        <w:rPr>
          <w:rFonts w:ascii="Times New Roman" w:hAnsi="Times New Roman" w:cs="Times New Roman"/>
          <w:b/>
          <w:sz w:val="24"/>
          <w:szCs w:val="24"/>
        </w:rPr>
        <w:t>5</w:t>
      </w:r>
      <w:r w:rsidRPr="005445F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5445FC">
        <w:rPr>
          <w:rFonts w:ascii="Times New Roman" w:hAnsi="Times New Roman" w:cs="Times New Roman"/>
          <w:sz w:val="24"/>
          <w:szCs w:val="24"/>
        </w:rPr>
        <w:t xml:space="preserve"> планируются в сумме </w:t>
      </w:r>
      <w:r w:rsidR="00DA2FB5">
        <w:rPr>
          <w:rFonts w:ascii="Times New Roman" w:hAnsi="Times New Roman" w:cs="Times New Roman"/>
          <w:sz w:val="24"/>
          <w:szCs w:val="24"/>
        </w:rPr>
        <w:t>12182,7</w:t>
      </w:r>
      <w:r w:rsidR="00166D88" w:rsidRPr="005445FC">
        <w:rPr>
          <w:rFonts w:ascii="Times New Roman" w:hAnsi="Times New Roman" w:cs="Times New Roman"/>
          <w:sz w:val="24"/>
          <w:szCs w:val="24"/>
        </w:rPr>
        <w:t xml:space="preserve"> </w:t>
      </w:r>
      <w:r w:rsidRPr="005445FC">
        <w:rPr>
          <w:rFonts w:ascii="Times New Roman" w:hAnsi="Times New Roman" w:cs="Times New Roman"/>
          <w:sz w:val="24"/>
          <w:szCs w:val="24"/>
        </w:rPr>
        <w:t xml:space="preserve">тыс. рублей, что ниже ожидаемого уровня исполнения бюджета </w:t>
      </w:r>
      <w:r w:rsidR="005003A4" w:rsidRPr="005445FC">
        <w:rPr>
          <w:rFonts w:ascii="Times New Roman" w:hAnsi="Times New Roman" w:cs="Times New Roman"/>
          <w:sz w:val="24"/>
          <w:szCs w:val="24"/>
        </w:rPr>
        <w:t>202</w:t>
      </w:r>
      <w:r w:rsidR="00DA2FB5">
        <w:rPr>
          <w:rFonts w:ascii="Times New Roman" w:hAnsi="Times New Roman" w:cs="Times New Roman"/>
          <w:sz w:val="24"/>
          <w:szCs w:val="24"/>
        </w:rPr>
        <w:t>4</w:t>
      </w:r>
      <w:r w:rsidR="00CA736E" w:rsidRPr="005445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445FC">
        <w:rPr>
          <w:rFonts w:ascii="Times New Roman" w:hAnsi="Times New Roman" w:cs="Times New Roman"/>
          <w:sz w:val="24"/>
          <w:szCs w:val="24"/>
        </w:rPr>
        <w:t xml:space="preserve"> на </w:t>
      </w:r>
      <w:r w:rsidR="00DA2FB5">
        <w:rPr>
          <w:rFonts w:ascii="Times New Roman" w:hAnsi="Times New Roman" w:cs="Times New Roman"/>
          <w:sz w:val="24"/>
          <w:szCs w:val="24"/>
        </w:rPr>
        <w:t>101807,1</w:t>
      </w:r>
      <w:r w:rsidRPr="005445FC">
        <w:rPr>
          <w:rFonts w:ascii="Times New Roman" w:hAnsi="Times New Roman" w:cs="Times New Roman"/>
          <w:sz w:val="24"/>
          <w:szCs w:val="24"/>
        </w:rPr>
        <w:t xml:space="preserve"> тыс. рублей,  или </w:t>
      </w:r>
      <w:r w:rsidR="00F67385" w:rsidRPr="005445FC">
        <w:rPr>
          <w:rFonts w:ascii="Times New Roman" w:hAnsi="Times New Roman" w:cs="Times New Roman"/>
          <w:sz w:val="24"/>
          <w:szCs w:val="24"/>
        </w:rPr>
        <w:t xml:space="preserve">в </w:t>
      </w:r>
      <w:r w:rsidR="00DA2FB5">
        <w:rPr>
          <w:rFonts w:ascii="Times New Roman" w:hAnsi="Times New Roman" w:cs="Times New Roman"/>
          <w:sz w:val="24"/>
          <w:szCs w:val="24"/>
        </w:rPr>
        <w:t>9,4</w:t>
      </w:r>
      <w:r w:rsidR="00F67385" w:rsidRPr="005445FC">
        <w:rPr>
          <w:rFonts w:ascii="Times New Roman" w:hAnsi="Times New Roman" w:cs="Times New Roman"/>
          <w:sz w:val="24"/>
          <w:szCs w:val="24"/>
        </w:rPr>
        <w:t xml:space="preserve"> раза за счет уменьшения субсидий.</w:t>
      </w:r>
      <w:r w:rsidRPr="00544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445F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</w:t>
      </w:r>
      <w:r w:rsidR="005003A4" w:rsidRPr="005445FC">
        <w:rPr>
          <w:rFonts w:ascii="Times New Roman" w:hAnsi="Times New Roman" w:cs="Times New Roman"/>
          <w:sz w:val="24"/>
          <w:szCs w:val="24"/>
        </w:rPr>
        <w:t>202</w:t>
      </w:r>
      <w:r w:rsidR="00DA2FB5">
        <w:rPr>
          <w:rFonts w:ascii="Times New Roman" w:hAnsi="Times New Roman" w:cs="Times New Roman"/>
          <w:sz w:val="24"/>
          <w:szCs w:val="24"/>
        </w:rPr>
        <w:t>5</w:t>
      </w:r>
      <w:r w:rsidRPr="005445F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44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445FC">
        <w:rPr>
          <w:rFonts w:ascii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DA2FB5">
        <w:rPr>
          <w:rFonts w:ascii="Times New Roman" w:hAnsi="Times New Roman" w:cs="Times New Roman"/>
          <w:sz w:val="24"/>
          <w:szCs w:val="24"/>
        </w:rPr>
        <w:t>11,6</w:t>
      </w:r>
      <w:r w:rsidRPr="005445FC">
        <w:rPr>
          <w:rFonts w:ascii="Times New Roman" w:hAnsi="Times New Roman" w:cs="Times New Roman"/>
          <w:sz w:val="24"/>
          <w:szCs w:val="24"/>
        </w:rPr>
        <w:t xml:space="preserve">%. </w:t>
      </w:r>
      <w:r w:rsidR="005167CE" w:rsidRPr="005445FC">
        <w:rPr>
          <w:rFonts w:ascii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приходится на Субсидии – </w:t>
      </w:r>
      <w:r w:rsidR="00181E73" w:rsidRPr="005445FC">
        <w:rPr>
          <w:rFonts w:ascii="Times New Roman" w:hAnsi="Times New Roman" w:cs="Times New Roman"/>
          <w:sz w:val="24"/>
          <w:szCs w:val="24"/>
        </w:rPr>
        <w:t>100,0</w:t>
      </w:r>
      <w:r w:rsidR="005167CE" w:rsidRPr="005445FC">
        <w:rPr>
          <w:rFonts w:ascii="Times New Roman" w:hAnsi="Times New Roman" w:cs="Times New Roman"/>
          <w:sz w:val="24"/>
          <w:szCs w:val="24"/>
        </w:rPr>
        <w:t>%.</w:t>
      </w:r>
    </w:p>
    <w:p w:rsidR="00EC5966" w:rsidRPr="009501D4" w:rsidRDefault="009501D4" w:rsidP="009501D4">
      <w:pPr>
        <w:tabs>
          <w:tab w:val="center" w:pos="5037"/>
          <w:tab w:val="right" w:pos="935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445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5966" w:rsidRPr="005445FC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 поступлений</w:t>
      </w:r>
      <w:r w:rsidRPr="009501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5966" w:rsidRPr="003F1AD2" w:rsidRDefault="00EC5966" w:rsidP="00EC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 </w:t>
      </w:r>
      <w:r w:rsidR="005003A4"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12AA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5003A4"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12AA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003A4"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12AA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501D4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EC5966" w:rsidRPr="003F1AD2" w:rsidRDefault="00EC5966" w:rsidP="00EC596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F1AD2">
        <w:rPr>
          <w:rFonts w:ascii="Times New Roman" w:hAnsi="Times New Roman" w:cs="Times New Roman"/>
          <w:sz w:val="24"/>
          <w:szCs w:val="24"/>
        </w:rPr>
        <w:t>Таблица №</w:t>
      </w:r>
      <w:r w:rsidR="00565C4C">
        <w:rPr>
          <w:rFonts w:ascii="Times New Roman" w:hAnsi="Times New Roman" w:cs="Times New Roman"/>
          <w:sz w:val="24"/>
          <w:szCs w:val="24"/>
        </w:rPr>
        <w:t xml:space="preserve"> 7</w:t>
      </w:r>
      <w:r w:rsidRPr="003F1AD2">
        <w:rPr>
          <w:rFonts w:ascii="Times New Roman" w:hAnsi="Times New Roman" w:cs="Times New Roman"/>
          <w:sz w:val="24"/>
          <w:szCs w:val="24"/>
        </w:rPr>
        <w:t>, тыс. рублей</w:t>
      </w:r>
    </w:p>
    <w:tbl>
      <w:tblPr>
        <w:tblW w:w="942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767"/>
        <w:gridCol w:w="752"/>
        <w:gridCol w:w="469"/>
        <w:gridCol w:w="752"/>
        <w:gridCol w:w="752"/>
        <w:gridCol w:w="961"/>
        <w:gridCol w:w="850"/>
        <w:gridCol w:w="670"/>
        <w:gridCol w:w="692"/>
        <w:gridCol w:w="692"/>
        <w:gridCol w:w="692"/>
      </w:tblGrid>
      <w:tr w:rsidR="000B3174" w:rsidRPr="00EC5966" w:rsidTr="00C542FA">
        <w:trPr>
          <w:trHeight w:val="58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5" w:rsidRDefault="00166D88" w:rsidP="008C26D5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</w:t>
            </w:r>
            <w:proofErr w:type="spell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</w:t>
            </w:r>
            <w:proofErr w:type="spellEnd"/>
          </w:p>
          <w:p w:rsidR="00166D88" w:rsidRPr="00EC5966" w:rsidRDefault="00166D88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66D88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166D88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 %</w:t>
            </w:r>
          </w:p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0B3174" w:rsidRPr="00EC5966" w:rsidTr="00C542FA">
        <w:trPr>
          <w:trHeight w:val="255"/>
        </w:trPr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166D88" w:rsidP="00EC5966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0B3174" w:rsidRPr="00EC5966" w:rsidTr="00C542FA">
        <w:trPr>
          <w:trHeight w:val="1020"/>
        </w:trPr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88" w:rsidRPr="00EC5966" w:rsidRDefault="00166D88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D88" w:rsidRPr="00EC5966" w:rsidRDefault="005003A4" w:rsidP="00312AA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2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66D88"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0208" w:rsidRPr="00EC5966" w:rsidTr="00C542FA">
        <w:trPr>
          <w:trHeight w:val="25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EC5966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БЕЗВОЗМЕЗД</w:t>
            </w:r>
          </w:p>
          <w:p w:rsidR="00F80208" w:rsidRPr="00EC5966" w:rsidRDefault="00F80208" w:rsidP="00EC5966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НЫЕ ПОСТУПЛЕНИЯ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113989,8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12182,7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12182,7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12182,7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-101807,1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80208" w:rsidRPr="00EC5966" w:rsidTr="00C542FA">
        <w:trPr>
          <w:trHeight w:val="510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7E146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80208" w:rsidRPr="00EC5966" w:rsidTr="00C542FA">
        <w:trPr>
          <w:trHeight w:val="76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7E146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119976,7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12182,5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-107794,2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80208" w:rsidRPr="00EC5966" w:rsidTr="00C542FA">
        <w:trPr>
          <w:trHeight w:val="52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7E146E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80208" w:rsidRPr="00EC5966" w:rsidTr="00C542FA">
        <w:trPr>
          <w:trHeight w:val="31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EC5966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80208" w:rsidRPr="00EC5966" w:rsidTr="00C542FA">
        <w:trPr>
          <w:trHeight w:val="31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EC5966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</w:tr>
      <w:tr w:rsidR="00F80208" w:rsidRPr="00EC5966" w:rsidTr="00C542FA">
        <w:trPr>
          <w:trHeight w:val="1035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Pr="00EC5966" w:rsidRDefault="00F80208" w:rsidP="00EC5966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-6053,2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208" w:rsidRPr="001A3DEB" w:rsidRDefault="00F802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3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-6053,2</w:t>
            </w:r>
          </w:p>
        </w:tc>
      </w:tr>
    </w:tbl>
    <w:p w:rsidR="005167CE" w:rsidRDefault="005167CE" w:rsidP="00093B22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7CE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Субсидии </w:t>
      </w:r>
      <w:r w:rsidRPr="005167CE">
        <w:rPr>
          <w:rFonts w:ascii="Times New Roman" w:eastAsia="Times New Roman" w:hAnsi="Times New Roman" w:cs="Times New Roman"/>
          <w:sz w:val="24"/>
          <w:szCs w:val="24"/>
        </w:rPr>
        <w:t xml:space="preserve">бюджетам субъектов РФ и муниципальных образований (межбюджетные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5167CE">
        <w:rPr>
          <w:rFonts w:ascii="Times New Roman" w:eastAsia="Times New Roman" w:hAnsi="Times New Roman" w:cs="Times New Roman"/>
          <w:sz w:val="24"/>
          <w:szCs w:val="24"/>
        </w:rPr>
        <w:t>бсидии)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в объеме </w:t>
      </w:r>
      <w:r w:rsidR="00DA2FB5">
        <w:rPr>
          <w:rFonts w:ascii="Times New Roman" w:eastAsia="Times New Roman" w:hAnsi="Times New Roman" w:cs="Times New Roman"/>
          <w:sz w:val="24"/>
          <w:szCs w:val="24"/>
        </w:rPr>
        <w:t>12182,5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CE3D2F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107794,2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82809">
        <w:rPr>
          <w:rFonts w:ascii="Times New Roman" w:eastAsia="Times New Roman" w:hAnsi="Times New Roman" w:cs="Times New Roman"/>
          <w:sz w:val="24"/>
          <w:szCs w:val="24"/>
        </w:rPr>
        <w:t xml:space="preserve">, или в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9,8</w:t>
      </w:r>
      <w:r w:rsidR="00682809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 оценки исполнения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682809" w:rsidRPr="00682809" w:rsidRDefault="00682809" w:rsidP="006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0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82809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планируются:</w:t>
      </w:r>
    </w:p>
    <w:p w:rsidR="00682809" w:rsidRPr="00682809" w:rsidRDefault="00682809" w:rsidP="006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09">
        <w:rPr>
          <w:rFonts w:ascii="Times New Roman" w:eastAsia="Times New Roman" w:hAnsi="Times New Roman" w:cs="Times New Roman"/>
          <w:sz w:val="24"/>
          <w:szCs w:val="24"/>
        </w:rPr>
        <w:t xml:space="preserve">-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 xml:space="preserve"> 12182,5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8280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EC5966" w:rsidRDefault="00EC5966" w:rsidP="006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7CE">
        <w:rPr>
          <w:rFonts w:ascii="Times New Roman" w:eastAsia="Times New Roman" w:hAnsi="Times New Roman" w:cs="Times New Roman"/>
          <w:b/>
          <w:sz w:val="24"/>
          <w:szCs w:val="24"/>
        </w:rPr>
        <w:t>Субвенции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в бюджете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составляют 0,2 тыс. рублей, что </w:t>
      </w:r>
      <w:r w:rsidR="00E4065C" w:rsidRPr="003F1AD2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E4065C" w:rsidRPr="003F1AD2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E4065C" w:rsidRPr="003F1A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22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4065C" w:rsidRPr="003F1A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Субвенции предусмотрены на выполнение передаваемых полномочий субъектов РФ в сумме 0,2 тыс. рублей.</w:t>
      </w:r>
    </w:p>
    <w:p w:rsidR="008E4744" w:rsidRPr="008E4744" w:rsidRDefault="00346D15" w:rsidP="008E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8E4744" w:rsidRPr="008E4744">
        <w:rPr>
          <w:rFonts w:ascii="Times New Roman" w:eastAsia="Times New Roman" w:hAnsi="Times New Roman" w:cs="Times New Roman"/>
          <w:sz w:val="24"/>
          <w:szCs w:val="24"/>
        </w:rPr>
        <w:t>Прогнозирование собственных доходов отвечает нормам, установленными статьей 174.1 Бюджетного кодекса Российской Федерации, в условиях действующего на день внесения проекта решения о бюджете в законодательный (представительный) орган, законодательства о налогах и сборах и бюджетного законодательства.</w:t>
      </w:r>
      <w:proofErr w:type="gramEnd"/>
    </w:p>
    <w:p w:rsidR="008E4744" w:rsidRPr="008E4744" w:rsidRDefault="008E4744" w:rsidP="008E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При расчетах соблюдены положения нормативно-правовых актов Российской Федерации и Брянской области, предусматривающие изменения в законодательство о налогах и сборах, вступающие в действие с 1 января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 года и последующие годы.</w:t>
      </w:r>
    </w:p>
    <w:p w:rsidR="00EC5966" w:rsidRPr="001C716B" w:rsidRDefault="00EC5966" w:rsidP="00EC5966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16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расходной части проекта бюджета</w:t>
      </w:r>
    </w:p>
    <w:p w:rsidR="00EC5966" w:rsidRPr="001C716B" w:rsidRDefault="00EC5966" w:rsidP="00EC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D567AF" w:rsidRPr="001C71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03A4" w:rsidRPr="001C716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67AF" w:rsidRPr="001C716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отношению к объему расходов, ожидаемому в</w:t>
      </w:r>
      <w:r w:rsidRPr="001C7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03A4" w:rsidRPr="001C716B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9D0C24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1C7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году расходы, определенные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ниже на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150844,5</w:t>
      </w:r>
      <w:r w:rsidR="00D567AF" w:rsidRPr="001C7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9D0C24">
        <w:rPr>
          <w:rFonts w:ascii="Times New Roman" w:eastAsia="Times New Roman" w:hAnsi="Times New Roman" w:cs="Times New Roman"/>
          <w:sz w:val="24"/>
          <w:szCs w:val="24"/>
        </w:rPr>
        <w:t>58,9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EC5966" w:rsidRPr="001C716B" w:rsidRDefault="003F1AD2" w:rsidP="00EC5966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EC5966"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5003A4"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E7FC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C5966"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003A4"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E7FC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C5966" w:rsidRPr="001C716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346D15" w:rsidRPr="001C716B" w:rsidRDefault="00346D15" w:rsidP="00346D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716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2C7864" w:rsidRPr="001C71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983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1134"/>
        <w:gridCol w:w="709"/>
        <w:gridCol w:w="992"/>
        <w:gridCol w:w="709"/>
        <w:gridCol w:w="1052"/>
        <w:gridCol w:w="911"/>
        <w:gridCol w:w="1073"/>
        <w:gridCol w:w="851"/>
      </w:tblGrid>
      <w:tr w:rsidR="00470FB1" w:rsidRPr="00EC5966" w:rsidTr="003A378F">
        <w:trPr>
          <w:trHeight w:val="69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517" w:rsidRPr="001C716B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70FB1" w:rsidRPr="001C716B" w:rsidRDefault="00470FB1" w:rsidP="00DB45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1C716B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1C716B" w:rsidRDefault="00470FB1" w:rsidP="003E7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бюджета </w:t>
            </w:r>
            <w:r w:rsidR="005003A4"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E7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1C716B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</w:p>
          <w:p w:rsidR="00470FB1" w:rsidRPr="001C716B" w:rsidRDefault="005003A4" w:rsidP="003E7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E7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70FB1"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1C716B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</w:p>
          <w:p w:rsidR="00470FB1" w:rsidRPr="001C716B" w:rsidRDefault="005003A4" w:rsidP="003E7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E7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70FB1"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1C716B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</w:p>
          <w:p w:rsidR="00470FB1" w:rsidRPr="00EC5966" w:rsidRDefault="005003A4" w:rsidP="003E7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E7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70FB1" w:rsidRPr="001C71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470FB1" w:rsidRPr="00EC5966" w:rsidTr="003A378F">
        <w:trPr>
          <w:trHeight w:val="26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FB1" w:rsidRPr="00EC5966" w:rsidRDefault="00470FB1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FB1" w:rsidRPr="00EC5966" w:rsidRDefault="00470FB1" w:rsidP="00EC5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B1" w:rsidRPr="00EC5966" w:rsidRDefault="00470FB1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123589" w:rsidRPr="00EC5966" w:rsidTr="002B2003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123589" w:rsidRPr="00EC5966" w:rsidTr="002B2003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37606,6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38628,7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</w:t>
            </w:r>
          </w:p>
        </w:tc>
      </w:tr>
      <w:tr w:rsidR="00123589" w:rsidRPr="00EC5966" w:rsidTr="002B2003">
        <w:trPr>
          <w:trHeight w:val="49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</w:t>
            </w:r>
            <w:proofErr w:type="gramEnd"/>
          </w:p>
          <w:p w:rsidR="00123589" w:rsidRPr="00EC5966" w:rsidRDefault="00123589" w:rsidP="00EC351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66478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</w:tr>
      <w:tr w:rsidR="00123589" w:rsidRPr="00EC5966" w:rsidTr="002B2003">
        <w:trPr>
          <w:trHeight w:val="39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351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123589" w:rsidRPr="00EC5966" w:rsidTr="002B200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Default="00123589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СОЦИАЛЬНАЯ </w:t>
            </w:r>
          </w:p>
          <w:p w:rsidR="00123589" w:rsidRPr="00EC5966" w:rsidRDefault="00123589" w:rsidP="00EC351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14"/>
                <w:szCs w:val="14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3589" w:rsidRPr="00EC5966" w:rsidTr="002B2003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589" w:rsidRPr="00EC5966" w:rsidRDefault="00123589" w:rsidP="00EC59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123589" w:rsidRPr="00EC5966" w:rsidTr="002B2003">
        <w:trPr>
          <w:trHeight w:val="4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4F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589" w:rsidRPr="00EC5966" w:rsidRDefault="00123589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9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256019,4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105174,9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112059,8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119079,9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589" w:rsidRPr="00123589" w:rsidRDefault="001235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35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FE0126" w:rsidRDefault="00EC5966" w:rsidP="00FE0126">
      <w:pPr>
        <w:pStyle w:val="21"/>
        <w:spacing w:after="0" w:line="276" w:lineRule="auto"/>
        <w:ind w:left="0"/>
        <w:contextualSpacing/>
        <w:jc w:val="both"/>
      </w:pPr>
      <w:r w:rsidRPr="003F1AD2">
        <w:t>Приоритетным</w:t>
      </w:r>
      <w:r w:rsidR="00C1113F">
        <w:t>и</w:t>
      </w:r>
      <w:r w:rsidRPr="003F1AD2">
        <w:t xml:space="preserve"> направлени</w:t>
      </w:r>
      <w:r w:rsidR="00C1113F">
        <w:t>ями</w:t>
      </w:r>
      <w:r w:rsidRPr="003F1AD2">
        <w:t xml:space="preserve"> расходов бюджета </w:t>
      </w:r>
      <w:r w:rsidR="009C2D06">
        <w:t>Суражского городского поселения</w:t>
      </w:r>
      <w:r w:rsidRPr="003F1AD2">
        <w:t xml:space="preserve"> </w:t>
      </w:r>
      <w:r w:rsidR="004842DA">
        <w:t>на 2025 год и на плановый период 2026 и 2027 годов</w:t>
      </w:r>
      <w:r w:rsidRPr="003F1AD2">
        <w:t xml:space="preserve"> явля</w:t>
      </w:r>
      <w:r w:rsidR="00C1113F">
        <w:t>ются</w:t>
      </w:r>
      <w:r w:rsidRPr="003F1AD2">
        <w:t xml:space="preserve"> </w:t>
      </w:r>
      <w:r w:rsidR="00C1113F">
        <w:t xml:space="preserve">национальная экономика и </w:t>
      </w:r>
      <w:r w:rsidRPr="003F1AD2">
        <w:t>жилищно-коммунальное хозяйство</w:t>
      </w:r>
      <w:r w:rsidR="00E24324">
        <w:t xml:space="preserve">. </w:t>
      </w:r>
    </w:p>
    <w:p w:rsidR="00FE0126" w:rsidRDefault="00FE0126" w:rsidP="00FE0126">
      <w:pPr>
        <w:pStyle w:val="21"/>
        <w:spacing w:after="0" w:line="276" w:lineRule="auto"/>
        <w:ind w:left="0"/>
        <w:contextualSpacing/>
        <w:jc w:val="both"/>
      </w:pPr>
      <w:r w:rsidRPr="00FE0126">
        <w:t xml:space="preserve">Наибольший удельный вес в общем объеме расходов бюджета на </w:t>
      </w:r>
      <w:r w:rsidR="005003A4">
        <w:t>202</w:t>
      </w:r>
      <w:r w:rsidR="002B2CE4">
        <w:t>6</w:t>
      </w:r>
      <w:r w:rsidRPr="00FE0126">
        <w:t>-</w:t>
      </w:r>
      <w:r w:rsidR="005003A4">
        <w:t>202</w:t>
      </w:r>
      <w:r w:rsidR="002B2CE4">
        <w:t>7</w:t>
      </w:r>
      <w:r w:rsidRPr="00FE0126">
        <w:t xml:space="preserve"> годы занимают разделы:</w:t>
      </w:r>
    </w:p>
    <w:p w:rsidR="00D11F42" w:rsidRPr="00FE0126" w:rsidRDefault="00D11F42" w:rsidP="00FE0126">
      <w:pPr>
        <w:pStyle w:val="21"/>
        <w:spacing w:after="0" w:line="276" w:lineRule="auto"/>
        <w:ind w:left="0"/>
        <w:contextualSpacing/>
        <w:jc w:val="both"/>
      </w:pPr>
      <w:r>
        <w:t xml:space="preserve">           </w:t>
      </w:r>
      <w:r w:rsidRPr="00D11F42">
        <w:t xml:space="preserve">- «Жилищно-коммунальное хозяйство» – </w:t>
      </w:r>
      <w:r w:rsidR="002B2CE4">
        <w:t>56,5</w:t>
      </w:r>
      <w:r w:rsidRPr="00D11F42">
        <w:t xml:space="preserve"> %</w:t>
      </w:r>
      <w:r w:rsidR="002B2CE4">
        <w:t xml:space="preserve"> и 55,8</w:t>
      </w:r>
      <w:r w:rsidRPr="00D11F42">
        <w:t>% соответственно;</w:t>
      </w:r>
    </w:p>
    <w:p w:rsidR="00FE0126" w:rsidRPr="00FE0126" w:rsidRDefault="00FE0126" w:rsidP="00FE012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sz w:val="24"/>
          <w:szCs w:val="24"/>
        </w:rPr>
        <w:tab/>
        <w:t xml:space="preserve">- «Национальная экономика» – </w:t>
      </w:r>
      <w:r w:rsidR="00C11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33,6</w:t>
      </w:r>
      <w:r w:rsidRPr="00FE0126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 xml:space="preserve"> и 32,4</w:t>
      </w:r>
      <w:r w:rsidRPr="00FE0126">
        <w:rPr>
          <w:rFonts w:ascii="Times New Roman" w:eastAsia="Times New Roman" w:hAnsi="Times New Roman" w:cs="Times New Roman"/>
          <w:sz w:val="24"/>
          <w:szCs w:val="24"/>
        </w:rPr>
        <w:t>% соответственно;</w:t>
      </w:r>
    </w:p>
    <w:p w:rsidR="00EC5966" w:rsidRDefault="00FE0126" w:rsidP="0001492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sz w:val="24"/>
          <w:szCs w:val="24"/>
        </w:rPr>
        <w:tab/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году занимают расходы по  разделу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 xml:space="preserve">10 «Социальная политика» менее 1,0% и 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>01 «Общегосударственные вопросы»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9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>в расходах бюджета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. Объем расходов по отраслям «социального блока» (культура, социальная политика) составит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91,8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96551,7</w:t>
      </w:r>
      <w:r w:rsidR="0001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тыс. рублей) 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>объема расходов бюджета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 на 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4,5</w:t>
      </w:r>
      <w:r w:rsidR="004237C2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 (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96,3</w:t>
      </w:r>
      <w:r w:rsidR="000149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57C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оценки исполнения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32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EC5966"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A01" w:rsidRPr="008953E4" w:rsidRDefault="00DF5A01" w:rsidP="00CD69F0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4F56A1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4F56A1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</w:t>
      </w:r>
      <w:r w:rsidRPr="008953E4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A01" w:rsidRDefault="008953E4" w:rsidP="00CD69F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Условно утверждаемые расходы на плановый период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2D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2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годы утверждены, соответственно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2500,0</w:t>
      </w:r>
      <w:r w:rsidR="00914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B2CE4">
        <w:rPr>
          <w:rFonts w:ascii="Times New Roman" w:eastAsia="Times New Roman" w:hAnsi="Times New Roman" w:cs="Times New Roman"/>
          <w:sz w:val="24"/>
          <w:szCs w:val="24"/>
        </w:rPr>
        <w:t>5350,0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Pr="004B389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692C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3891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4B38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92C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3891">
        <w:rPr>
          <w:rFonts w:ascii="Times New Roman" w:eastAsia="Times New Roman" w:hAnsi="Times New Roman" w:cs="Times New Roman"/>
          <w:sz w:val="24"/>
          <w:szCs w:val="24"/>
        </w:rPr>
        <w:t>,0%</w:t>
      </w:r>
      <w:r w:rsidR="00DF5A01" w:rsidRPr="0089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9E" w:rsidRPr="00692C9E">
        <w:rPr>
          <w:rFonts w:ascii="Times New Roman" w:eastAsia="Times New Roman" w:hAnsi="Times New Roman" w:cs="Times New Roman"/>
          <w:sz w:val="24"/>
          <w:szCs w:val="24"/>
        </w:rPr>
        <w:t>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692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38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5A01">
        <w:rPr>
          <w:rFonts w:ascii="Times New Roman" w:eastAsia="Times New Roman" w:hAnsi="Times New Roman" w:cs="Times New Roman"/>
          <w:sz w:val="24"/>
          <w:szCs w:val="24"/>
        </w:rPr>
        <w:t>граничение ст. 184.1 Бюджетного кодекса РФ соблюдено.</w:t>
      </w:r>
    </w:p>
    <w:p w:rsidR="00EC5966" w:rsidRPr="003F1AD2" w:rsidRDefault="00EC5966" w:rsidP="00EC5966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</w:t>
      </w:r>
      <w:r w:rsidR="00123E59" w:rsidRPr="006A5907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разделам,  подразделам.</w:t>
      </w:r>
    </w:p>
    <w:p w:rsidR="00EC5966" w:rsidRPr="003F1AD2" w:rsidRDefault="00EC5966" w:rsidP="00EC59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AA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3B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pPr w:leftFromText="180" w:rightFromText="180" w:vertAnchor="text" w:horzAnchor="margin" w:tblpXSpec="center" w:tblpY="167"/>
        <w:tblW w:w="100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22"/>
        <w:gridCol w:w="422"/>
        <w:gridCol w:w="843"/>
        <w:gridCol w:w="703"/>
        <w:gridCol w:w="703"/>
        <w:gridCol w:w="843"/>
        <w:gridCol w:w="703"/>
        <w:gridCol w:w="796"/>
        <w:gridCol w:w="765"/>
        <w:gridCol w:w="984"/>
        <w:gridCol w:w="703"/>
        <w:gridCol w:w="704"/>
      </w:tblGrid>
      <w:tr w:rsidR="005A734D" w:rsidRPr="006C1806" w:rsidTr="001A3D11">
        <w:trPr>
          <w:trHeight w:val="285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Подраздел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proofErr w:type="spellStart"/>
            <w:proofErr w:type="gramStart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бюд-жета</w:t>
            </w:r>
            <w:proofErr w:type="spellEnd"/>
            <w:proofErr w:type="gramEnd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FC51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D2E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D2E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A734D" w:rsidRPr="006C1806" w:rsidRDefault="005003A4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D2E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5A734D"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6B" w:rsidRDefault="005A734D" w:rsidP="00FC51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A734D" w:rsidRPr="006C1806" w:rsidRDefault="005003A4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2D2E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5A734D"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5A734D" w:rsidRPr="006C1806" w:rsidTr="001A3D11">
        <w:trPr>
          <w:trHeight w:val="285"/>
        </w:trPr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34D" w:rsidRPr="006C1806" w:rsidRDefault="005A734D" w:rsidP="006E53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4D" w:rsidRPr="006C1806" w:rsidRDefault="005A734D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2D2E8A" w:rsidRPr="006C1806" w:rsidTr="001A3D11">
        <w:trPr>
          <w:trHeight w:val="1019"/>
        </w:trPr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2E8A" w:rsidRPr="006C1806" w:rsidRDefault="002D2E8A" w:rsidP="002D2E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E8A" w:rsidRPr="006C1806" w:rsidRDefault="002D2E8A" w:rsidP="002D2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-123,5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331D5" w:rsidRPr="006C1806" w:rsidTr="00316757">
        <w:trPr>
          <w:trHeight w:val="562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331D5" w:rsidRPr="006C1806" w:rsidTr="00316757">
        <w:trPr>
          <w:trHeight w:val="458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76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574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331D5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выборов и референдумов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</w:tr>
      <w:tr w:rsidR="007331D5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128935,9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57567,7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37606,6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38628,7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-71368,2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-19961,1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1022,1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102,7</w:t>
            </w:r>
          </w:p>
        </w:tc>
      </w:tr>
      <w:tr w:rsidR="007331D5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37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126175,9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55612,7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35651,6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36678,7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-70563,2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-19961,1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102,9</w:t>
            </w:r>
          </w:p>
        </w:tc>
      </w:tr>
      <w:tr w:rsidR="002B2CE4" w:rsidRPr="006C1806" w:rsidTr="00316757">
        <w:trPr>
          <w:trHeight w:val="51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-1105,0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51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2916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117386,8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-78402,8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24346,0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2572,3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2572,3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36111,7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60457,7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63605,7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-78788,3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24346,0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105,2</w:t>
            </w:r>
          </w:p>
        </w:tc>
      </w:tr>
      <w:tr w:rsidR="007331D5" w:rsidRPr="006C1806" w:rsidTr="00916CED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E3536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</w:t>
            </w:r>
          </w:p>
          <w:p w:rsidR="002B2CE4" w:rsidRPr="006C1806" w:rsidRDefault="002B2CE4" w:rsidP="00E3536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РАФИЯ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E353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E353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-950,0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3D6FE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3D6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3D6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-950,0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2916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A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A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B2CE4" w:rsidRPr="006C1806" w:rsidTr="00316757">
        <w:trPr>
          <w:trHeight w:val="41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A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Пенсионное </w:t>
            </w:r>
            <w:proofErr w:type="spellStart"/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</w:p>
          <w:p w:rsidR="002B2CE4" w:rsidRPr="006C1806" w:rsidRDefault="002B2CE4" w:rsidP="009A49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A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9A49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331D5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Социальное </w:t>
            </w:r>
            <w:proofErr w:type="spellStart"/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</w:p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</w:t>
            </w:r>
            <w:proofErr w:type="spellEnd"/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331D5" w:rsidRPr="006C1806" w:rsidTr="00916CED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331D5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1D5" w:rsidRPr="006C1806" w:rsidRDefault="007331D5" w:rsidP="007331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1190,04,7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1D5" w:rsidRPr="002B2CE4" w:rsidRDefault="007331D5" w:rsidP="007331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B2CE4" w:rsidRPr="006C1806" w:rsidTr="00316757">
        <w:trPr>
          <w:trHeight w:val="25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E4" w:rsidRPr="00EC5966" w:rsidRDefault="002B2CE4" w:rsidP="00D01C0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E4" w:rsidRPr="006C1806" w:rsidRDefault="002B2CE4" w:rsidP="006E53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214,0</w:t>
            </w:r>
          </w:p>
        </w:tc>
      </w:tr>
      <w:tr w:rsidR="002B2CE4" w:rsidRPr="006C1806" w:rsidTr="00316757">
        <w:trPr>
          <w:trHeight w:val="668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FC4FA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</w:t>
            </w:r>
          </w:p>
          <w:p w:rsidR="002B2CE4" w:rsidRPr="006C1806" w:rsidRDefault="002B2CE4" w:rsidP="00FC4FA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ДОВ: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FC4F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E4" w:rsidRPr="006C1806" w:rsidRDefault="002B2CE4" w:rsidP="00FC4F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18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256019,4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105174,9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112059,8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119079,9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-150844,5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6884,9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7020,1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E4" w:rsidRPr="002B2CE4" w:rsidRDefault="002B2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2C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106,3</w:t>
            </w:r>
          </w:p>
        </w:tc>
      </w:tr>
    </w:tbl>
    <w:p w:rsidR="00EC5966" w:rsidRPr="007C77D9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D9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определены в размере 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133,2</w:t>
      </w:r>
      <w:r w:rsidR="001A2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123,5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A2BF8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77D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на 48,1%</w:t>
      </w:r>
      <w:r w:rsid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2807CF" w:rsidRPr="007C77D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6C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 w:rsidRPr="007C77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321E0" w:rsidRPr="007C77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2BB" w:rsidRPr="007C77D9">
        <w:rPr>
          <w:rFonts w:ascii="Times New Roman" w:eastAsia="Times New Roman" w:hAnsi="Times New Roman" w:cs="Times New Roman"/>
          <w:sz w:val="24"/>
          <w:szCs w:val="24"/>
        </w:rPr>
        <w:t>произошло за счет расходов по подразделу 01</w:t>
      </w:r>
      <w:r w:rsid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422BB" w:rsidRPr="007C77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422BB" w:rsidRPr="007C77D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C779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проведения выборов и референдумов</w:t>
      </w:r>
      <w:r w:rsidR="007C77D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7422BB" w:rsidRPr="007C7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>В структуре расход</w:t>
      </w:r>
      <w:r w:rsidR="00E53E00">
        <w:rPr>
          <w:rFonts w:ascii="Times New Roman" w:eastAsia="Times New Roman" w:hAnsi="Times New Roman" w:cs="Times New Roman"/>
          <w:sz w:val="24"/>
          <w:szCs w:val="24"/>
        </w:rPr>
        <w:t xml:space="preserve">ы раздела 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году составят </w:t>
      </w:r>
      <w:r w:rsidR="007C77D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4E3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0,0% соответственно.  </w:t>
      </w:r>
    </w:p>
    <w:p w:rsidR="00EC5966" w:rsidRPr="007C77D9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D9">
        <w:rPr>
          <w:rFonts w:ascii="Times New Roman" w:eastAsia="Times New Roman" w:hAnsi="Times New Roman" w:cs="Times New Roman"/>
          <w:sz w:val="24"/>
          <w:szCs w:val="24"/>
        </w:rPr>
        <w:t>Данные расходы определены в подразделах:</w:t>
      </w:r>
    </w:p>
    <w:p w:rsidR="00EC5966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D9">
        <w:rPr>
          <w:rFonts w:ascii="Times New Roman" w:eastAsia="Times New Roman" w:hAnsi="Times New Roman" w:cs="Times New Roman"/>
          <w:b/>
          <w:sz w:val="24"/>
          <w:szCs w:val="24"/>
        </w:rPr>
        <w:t>01 06 «Обеспечение деятельности финансовых, налоговых и таможенных органов и органов финансового (финансово-бюджетного) надзора»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C77D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предусмотрены на финансирование полномочий по осуществлению внешнего муниципального финансового контроля Контрольно-счетной палатой Суражского муниципального района;</w:t>
      </w:r>
    </w:p>
    <w:p w:rsidR="00E442D7" w:rsidRPr="007C77D9" w:rsidRDefault="00E442D7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616">
        <w:rPr>
          <w:rFonts w:ascii="Times New Roman" w:eastAsia="Times New Roman" w:hAnsi="Times New Roman" w:cs="Times New Roman"/>
          <w:b/>
          <w:sz w:val="24"/>
          <w:szCs w:val="24"/>
        </w:rPr>
        <w:t xml:space="preserve">01 11 </w:t>
      </w:r>
      <w:r w:rsidR="00FC7616" w:rsidRPr="00FC7616">
        <w:rPr>
          <w:rFonts w:ascii="Times New Roman" w:eastAsia="Times New Roman" w:hAnsi="Times New Roman" w:cs="Times New Roman"/>
          <w:b/>
          <w:sz w:val="24"/>
          <w:szCs w:val="24"/>
        </w:rPr>
        <w:t>«Резервные фонды»</w:t>
      </w:r>
      <w:r w:rsidR="00FC7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16" w:rsidRPr="00FC7616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FC7616">
        <w:rPr>
          <w:rFonts w:ascii="Times New Roman" w:eastAsia="Times New Roman" w:hAnsi="Times New Roman" w:cs="Times New Roman"/>
          <w:sz w:val="24"/>
          <w:szCs w:val="24"/>
        </w:rPr>
        <w:t xml:space="preserve">100,0 </w:t>
      </w:r>
      <w:r w:rsidR="00FC7616" w:rsidRPr="00FC7616">
        <w:rPr>
          <w:rFonts w:ascii="Times New Roman" w:eastAsia="Times New Roman" w:hAnsi="Times New Roman" w:cs="Times New Roman"/>
          <w:sz w:val="24"/>
          <w:szCs w:val="24"/>
        </w:rPr>
        <w:t>тыс. рублей и предусмотрены на финансирование</w:t>
      </w:r>
      <w:r w:rsidR="00FC7616">
        <w:rPr>
          <w:rFonts w:ascii="Times New Roman" w:eastAsia="Times New Roman" w:hAnsi="Times New Roman" w:cs="Times New Roman"/>
          <w:sz w:val="24"/>
          <w:szCs w:val="24"/>
        </w:rPr>
        <w:t xml:space="preserve"> расходов резервного фонда местной администрации;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D9">
        <w:rPr>
          <w:rFonts w:ascii="Times New Roman" w:eastAsia="Times New Roman" w:hAnsi="Times New Roman" w:cs="Times New Roman"/>
          <w:b/>
          <w:sz w:val="24"/>
          <w:szCs w:val="24"/>
        </w:rPr>
        <w:t>01 13  «Другие общегосударственные</w:t>
      </w:r>
      <w:r w:rsidRPr="00C72AD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вопросы»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31,2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предусмотрены на финансирование отдельных государственных полномочий Брянской области по определению перечня должностных лиц местного самоуправления, уполномоченных составлять протоколы об административных правонарушениях.</w:t>
      </w:r>
    </w:p>
    <w:p w:rsidR="006B34B0" w:rsidRDefault="00EC5966" w:rsidP="00EC5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определены в размере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57567,7</w:t>
      </w:r>
      <w:r w:rsidR="00E5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E53E0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71368,2</w:t>
      </w:r>
      <w:r w:rsidR="0004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на 55,4%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. В общем объеме расходов бюджета расходы раздела 04 «Национальная экономика» составят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54,7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%. Темп </w:t>
      </w:r>
      <w:r w:rsidR="00044E3F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расходов по данному разделу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(-34,7)</w:t>
      </w:r>
      <w:r w:rsidR="005345F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2,7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% соответственно. </w:t>
      </w:r>
      <w:proofErr w:type="gramEnd"/>
    </w:p>
    <w:p w:rsidR="00EC5966" w:rsidRPr="006C779E" w:rsidRDefault="006B34B0" w:rsidP="00EC5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по </w:t>
      </w:r>
      <w:r w:rsidRPr="006B34B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подразделу 04 06 «Водное хозяйство» </w:t>
      </w:r>
      <w:r w:rsidR="006C779E" w:rsidRPr="006C779E">
        <w:rPr>
          <w:rFonts w:ascii="Times New Roman" w:eastAsia="Times New Roman" w:hAnsi="Times New Roman" w:cs="Times New Roman"/>
          <w:sz w:val="24"/>
          <w:szCs w:val="24"/>
        </w:rPr>
        <w:t>не планируются.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Расходы по </w:t>
      </w:r>
      <w:r w:rsidRPr="00C72ADB">
        <w:rPr>
          <w:rFonts w:ascii="Times New Roman" w:eastAsia="Times New Roman" w:hAnsi="Times New Roman" w:cs="Times New Roman"/>
          <w:b/>
          <w:sz w:val="24"/>
          <w:szCs w:val="24"/>
        </w:rPr>
        <w:t>подразделу 04 08 «Транспорт»</w:t>
      </w:r>
      <w:r w:rsidRPr="00740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сумме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1950,0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300,0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на 18,2%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 больше чем ожидаемое исполнение 202</w:t>
      </w:r>
      <w:r w:rsidR="006C77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7A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предусмотрены на субсидирование затрат юридическим лицам и индивидуальным предпринимателям при организации транспортного обслуживания населения.</w:t>
      </w:r>
    </w:p>
    <w:p w:rsidR="00BD6D41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72ADB">
        <w:rPr>
          <w:rFonts w:ascii="Times New Roman" w:eastAsia="Times New Roman" w:hAnsi="Times New Roman" w:cs="Times New Roman"/>
          <w:b/>
          <w:sz w:val="24"/>
          <w:szCs w:val="24"/>
        </w:rPr>
        <w:t>подразделу 04 09 «Дорожное хозяйство»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плановый объем расходов предусмотрен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55612,7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ниже ожидаемого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70563,2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 тыс. рублей, или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55,9%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. Расходы данного подраздела предусмотрены на обеспечение сохранности автомобильных дорог местного значения и условий безопасности движения по ним</w:t>
      </w:r>
      <w:r w:rsidR="00BD6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D3">
        <w:rPr>
          <w:rFonts w:ascii="Times New Roman" w:eastAsia="Times New Roman" w:hAnsi="Times New Roman" w:cs="Times New Roman"/>
          <w:sz w:val="24"/>
          <w:szCs w:val="24"/>
        </w:rPr>
        <w:t xml:space="preserve">Расходы по </w:t>
      </w:r>
      <w:r w:rsidRPr="004D306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подразделу 04 12 «Другие вопросы в области» </w:t>
      </w:r>
      <w:r w:rsidRPr="001800D3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сумме 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3065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1800D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4327E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lastRenderedPageBreak/>
        <w:t>года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 xml:space="preserve"> на 1105,0 тыс. рублей, или в 222,0 раза.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Расходы данного подраздела предусмотрены на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поддержку малого и среднего предпринимательства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определены в размере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38984,0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78402,8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E805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3,0</w:t>
      </w:r>
      <w:r w:rsidR="00E8059C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83489C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E805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059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расходы раздела 05 «Жилищно-коммунальное хозяйство» составят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37,1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%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Темп роста расходов по данному разделу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62,5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700D7">
        <w:rPr>
          <w:rFonts w:ascii="Times New Roman" w:eastAsia="Times New Roman" w:hAnsi="Times New Roman" w:cs="Times New Roman"/>
          <w:b/>
          <w:sz w:val="24"/>
          <w:szCs w:val="24"/>
        </w:rPr>
        <w:t>подразделу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464" w:rsidRPr="00F700D7">
        <w:rPr>
          <w:rFonts w:ascii="Times New Roman" w:eastAsia="Times New Roman" w:hAnsi="Times New Roman" w:cs="Times New Roman"/>
          <w:b/>
          <w:sz w:val="24"/>
          <w:szCs w:val="24"/>
        </w:rPr>
        <w:t xml:space="preserve">05 </w:t>
      </w:r>
      <w:r w:rsidRPr="00F700D7">
        <w:rPr>
          <w:rFonts w:ascii="Times New Roman" w:eastAsia="Times New Roman" w:hAnsi="Times New Roman" w:cs="Times New Roman"/>
          <w:b/>
          <w:sz w:val="24"/>
          <w:szCs w:val="24"/>
        </w:rPr>
        <w:t xml:space="preserve">01 «Жилищное хозяйство»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расходы определены в проекте бюджета в объеме </w:t>
      </w:r>
      <w:r w:rsidR="006748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2211A" w:rsidRPr="003F1AD2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 тыс. рублей, что 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84,1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39,0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603B7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жидаемо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48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03B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1A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Расходы данного подраздела предусмотрены на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11A" w:rsidRPr="003F1AD2">
        <w:rPr>
          <w:rFonts w:ascii="Times New Roman" w:eastAsia="Times New Roman" w:hAnsi="Times New Roman" w:cs="Times New Roman"/>
          <w:sz w:val="24"/>
          <w:szCs w:val="24"/>
        </w:rPr>
        <w:t>уплат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211A" w:rsidRPr="003F1AD2">
        <w:rPr>
          <w:rFonts w:ascii="Times New Roman" w:eastAsia="Times New Roman" w:hAnsi="Times New Roman" w:cs="Times New Roman"/>
          <w:sz w:val="24"/>
          <w:szCs w:val="24"/>
        </w:rPr>
        <w:t xml:space="preserve"> взносов на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капитальный ремонт муниципального жилищного фонда</w:t>
      </w:r>
      <w:r w:rsidR="00BC2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700D7">
        <w:rPr>
          <w:rFonts w:ascii="Times New Roman" w:eastAsia="Times New Roman" w:hAnsi="Times New Roman" w:cs="Times New Roman"/>
          <w:b/>
          <w:sz w:val="24"/>
          <w:szCs w:val="24"/>
        </w:rPr>
        <w:t>подразделу 05 02 «Коммунальное хозяйство»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2572,3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Расходы данного подраздела предусмотрены </w:t>
      </w:r>
      <w:proofErr w:type="gramStart"/>
      <w:r w:rsidRPr="003F1AD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1A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73F0" w:rsidRPr="003F1AD2" w:rsidRDefault="00C373F0" w:rsidP="00C37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обеспечению населения бытовыми услугами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2372,3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в области коммунального хозяйства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 xml:space="preserve">200,0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E55DD" w:rsidRPr="00520010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 По </w:t>
      </w:r>
      <w:r w:rsidRPr="00F700D7">
        <w:rPr>
          <w:rFonts w:ascii="Times New Roman" w:eastAsia="Times New Roman" w:hAnsi="Times New Roman" w:cs="Times New Roman"/>
          <w:b/>
          <w:sz w:val="24"/>
          <w:szCs w:val="24"/>
        </w:rPr>
        <w:t>подразделу 05 03 «</w:t>
      </w:r>
      <w:r w:rsidRPr="00520010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Благоустройство»</w:t>
      </w:r>
      <w:r w:rsidRPr="00520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C6E" w:rsidRPr="00520010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36111,7</w:t>
      </w:r>
      <w:r w:rsidRPr="0052001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7E55DD" w:rsidRPr="005200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10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подраздела предусмотрены </w:t>
      </w:r>
      <w:proofErr w:type="gramStart"/>
      <w:r w:rsidRPr="0052001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200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уличное освещение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3000,0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озеленение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600,0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мест захоронения в сумме </w:t>
      </w:r>
      <w:r w:rsidR="0060027A">
        <w:rPr>
          <w:rFonts w:ascii="Times New Roman" w:eastAsia="Times New Roman" w:hAnsi="Times New Roman" w:cs="Times New Roman"/>
          <w:sz w:val="24"/>
          <w:szCs w:val="24"/>
        </w:rPr>
        <w:t>1913,5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2A6593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в сумме </w:t>
      </w:r>
      <w:r w:rsidR="00BF7BE7">
        <w:rPr>
          <w:rFonts w:ascii="Times New Roman" w:eastAsia="Times New Roman" w:hAnsi="Times New Roman" w:cs="Times New Roman"/>
          <w:sz w:val="24"/>
          <w:szCs w:val="24"/>
        </w:rPr>
        <w:t>30598,2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A6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08 «Культура и кинематография»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8450,0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950,0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10,1</w:t>
      </w:r>
      <w:r w:rsidR="00852BC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. В общем объеме расходов бюджета расходы раздела 08 «Культура и кинематография» составят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8,0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</w:t>
      </w:r>
      <w:r w:rsidR="002F69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852BC1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>Расходы предусмотрены на содержание МБУК «</w:t>
      </w:r>
      <w:proofErr w:type="spellStart"/>
      <w:r w:rsidRPr="003F1AD2">
        <w:rPr>
          <w:rFonts w:ascii="Times New Roman" w:eastAsia="Times New Roman" w:hAnsi="Times New Roman" w:cs="Times New Roman"/>
          <w:sz w:val="24"/>
          <w:szCs w:val="24"/>
        </w:rPr>
        <w:t>Суражская</w:t>
      </w:r>
      <w:proofErr w:type="spellEnd"/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городская детская библиотека» в сумме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3800,0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МБУК «</w:t>
      </w:r>
      <w:proofErr w:type="spellStart"/>
      <w:r w:rsidRPr="003F1AD2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центр культуры» в сумме </w:t>
      </w:r>
      <w:r w:rsidR="008D136C">
        <w:rPr>
          <w:rFonts w:ascii="Times New Roman" w:eastAsia="Times New Roman" w:hAnsi="Times New Roman" w:cs="Times New Roman"/>
          <w:sz w:val="24"/>
          <w:szCs w:val="24"/>
        </w:rPr>
        <w:t>4650,0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10 «Социальная политика»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380A2D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142AD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2142AD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2142A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5B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142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В общем объеме расходов бюджета расходы раздела 10 «Социальная политика» составят </w:t>
      </w:r>
      <w:r w:rsidR="00F232DD">
        <w:rPr>
          <w:rFonts w:ascii="Times New Roman" w:eastAsia="Times New Roman" w:hAnsi="Times New Roman" w:cs="Times New Roman"/>
          <w:sz w:val="24"/>
          <w:szCs w:val="24"/>
        </w:rPr>
        <w:t xml:space="preserve">менее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80A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в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2026-2027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годах к предыдущему году составляет 0,0% соответственно. Расходы предусмотрены по подразделу 10 01 «Пенсионное обеспечение» на ежемесячную доплату к пенсии муниципальным служащим. </w:t>
      </w:r>
    </w:p>
    <w:p w:rsidR="00EC5966" w:rsidRPr="003F1AD2" w:rsidRDefault="00EC5966" w:rsidP="00EC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933AE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 по доходам и расходам. </w:t>
      </w:r>
      <w:r w:rsidR="00752563">
        <w:rPr>
          <w:rFonts w:ascii="Times New Roman" w:eastAsia="Times New Roman" w:hAnsi="Times New Roman" w:cs="Times New Roman"/>
          <w:sz w:val="24"/>
          <w:szCs w:val="24"/>
        </w:rPr>
        <w:t xml:space="preserve">Главным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администратором источников финансирования дефицита бюджета является финансовый отдел администрации Суражского района. В соответствии с пунктом </w:t>
      </w:r>
      <w:r w:rsidR="0075256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71B56" w:rsidRPr="003F1AD2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и приложени</w:t>
      </w:r>
      <w:r w:rsidR="008A3B2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52563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56" w:rsidRPr="003F1A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71B56" w:rsidRPr="003F1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утверждены источники внутреннего финансирования дефицита бюджета – изменение остатков средств на счетах по учету средств бюджета.</w:t>
      </w:r>
      <w:r w:rsidR="00093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3AE">
        <w:rPr>
          <w:rFonts w:ascii="Times New Roman" w:eastAsia="Times New Roman" w:hAnsi="Times New Roman" w:cs="Times New Roman"/>
          <w:sz w:val="24"/>
          <w:szCs w:val="24"/>
        </w:rPr>
        <w:t>Нормы п. 3 статьи 92.1 БК РФ – соблюдены.</w:t>
      </w:r>
    </w:p>
    <w:p w:rsidR="00EC5966" w:rsidRPr="003F1AD2" w:rsidRDefault="00EC5966" w:rsidP="0074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7404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r w:rsidR="009C2D06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Суражского городского поселения</w:t>
      </w: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C5966" w:rsidRPr="003F1AD2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F1AD2">
        <w:rPr>
          <w:rFonts w:ascii="Times New Roman" w:eastAsia="Times New Roman" w:hAnsi="Times New Roman" w:cs="Times New Roman"/>
          <w:sz w:val="24"/>
          <w:szCs w:val="24"/>
        </w:rPr>
        <w:t>Сураж</w:t>
      </w:r>
      <w:r w:rsidR="00565D24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="00565D24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программы разработаны в соответствии с Порядком, утвержденным  постановлением администрации Суражского района от 02.11.2016 года №1095 «Об утверждении порядка разработки, реализации и оценки эффективности муниципальных программ». </w:t>
      </w:r>
    </w:p>
    <w:p w:rsidR="00EC5966" w:rsidRPr="003F1AD2" w:rsidRDefault="00EC5966" w:rsidP="00EC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ст.179 Бюджетного кодекса РФ муниципальные программы, предлагаемые к финансированию начиная с очередного финансового года, утверждены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постановлением администрации Суражского района </w:t>
      </w:r>
      <w:r w:rsidR="000D02F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D02F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02F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E6C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02F0"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6E6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1128</w:t>
      </w:r>
      <w:proofErr w:type="gramStart"/>
      <w:r w:rsidR="000D0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802" w:rsidRPr="00A7080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70802" w:rsidRPr="00A70802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Суражского района от 09.11.2022 № 758 «Об утверждении перечня муниципальных программ (подпрограмм) Суражского городского поселения Суражского муниципального района Брянской области, подлежащих разработке и реализации» (в ред. от 26.10.2023 № 763)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Default="00EC5966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статьи 157 Бюджетного Кодекса РФ муниципальные программы направлены в Контрольно-счетную палату для проведения экспертизы до их утверждения. В соответствии со ст. 184.2 Бюджетного кодекса РФ к проекту решения о бюджете представлены паспорта муниципальных программ.</w:t>
      </w:r>
    </w:p>
    <w:p w:rsidR="00231517" w:rsidRPr="003F1AD2" w:rsidRDefault="00231517" w:rsidP="00EC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бюджете </w:t>
      </w:r>
      <w:r w:rsidR="0011415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 xml:space="preserve">2025 год и плановый период 2026-2027 </w:t>
      </w:r>
      <w:r w:rsidR="0011415C">
        <w:rPr>
          <w:rFonts w:ascii="Times New Roman" w:eastAsia="Times New Roman" w:hAnsi="Times New Roman" w:cs="Times New Roman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ассигнования на реализацию 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-х муниципальных программ.</w:t>
      </w:r>
    </w:p>
    <w:p w:rsidR="00EC5966" w:rsidRDefault="00EC5966" w:rsidP="00EC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«О бюджете </w:t>
      </w:r>
      <w:r w:rsidR="009C2D06" w:rsidRPr="00E10113">
        <w:rPr>
          <w:rFonts w:ascii="Times New Roman" w:eastAsia="Times New Roman" w:hAnsi="Times New Roman" w:cs="Times New Roman"/>
          <w:sz w:val="24"/>
          <w:szCs w:val="24"/>
        </w:rPr>
        <w:t>Суражского городского поселения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»  расходы на реализацию целевых программ  в </w:t>
      </w:r>
      <w:r w:rsidR="005003A4" w:rsidRPr="00E1011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составляют </w:t>
      </w:r>
      <w:r w:rsidR="00A70802">
        <w:rPr>
          <w:rFonts w:ascii="Times New Roman" w:eastAsia="Times New Roman" w:hAnsi="Times New Roman" w:cs="Times New Roman"/>
          <w:sz w:val="24"/>
          <w:szCs w:val="24"/>
        </w:rPr>
        <w:t>105072,9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  соответствует 99,</w:t>
      </w:r>
      <w:r w:rsidR="007F4187" w:rsidRPr="00E101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% объема расходов бюджета, </w:t>
      </w:r>
      <w:r w:rsidR="00585B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187" w:rsidRPr="00E10113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первоначального плана 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7F4187" w:rsidRPr="00E1011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03A4" w:rsidRPr="00E1011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A736E" w:rsidRPr="00E1011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42921,2</w:t>
      </w:r>
      <w:r w:rsidR="00802101" w:rsidRPr="00E1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на 29,0%</w:t>
      </w:r>
      <w:r w:rsidRPr="00E101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C5966" w:rsidRPr="003F1AD2" w:rsidRDefault="00EC5966" w:rsidP="00EC59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 решения о бюджете</w:t>
      </w:r>
    </w:p>
    <w:p w:rsidR="00EC5966" w:rsidRPr="003F1AD2" w:rsidRDefault="00EC5966" w:rsidP="00EC596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1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Таблица №1</w:t>
      </w:r>
      <w:r w:rsidR="00983A1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6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811"/>
        <w:gridCol w:w="1705"/>
        <w:gridCol w:w="1215"/>
        <w:gridCol w:w="1316"/>
        <w:gridCol w:w="1213"/>
      </w:tblGrid>
      <w:tr w:rsidR="00EC5966" w:rsidRPr="00751A18" w:rsidTr="007F4187">
        <w:trPr>
          <w:trHeight w:val="780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EC5966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C5966" w:rsidRPr="00751A18" w:rsidRDefault="00EC5966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EC5966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6E4374" w:rsidP="00A708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Первоначальный план</w:t>
            </w:r>
            <w:r w:rsidR="00EC5966"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70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C5966"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EC5966" w:rsidP="00A708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0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70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EC5966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66" w:rsidRPr="00751A18" w:rsidRDefault="00EC5966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D4190" w:rsidRPr="00751A18" w:rsidTr="002B2003">
        <w:trPr>
          <w:trHeight w:val="560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751A18" w:rsidRDefault="002D4190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DE05B6" w:rsidRDefault="002D4190" w:rsidP="00A708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«Реализация полномочий администрации Суражского района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Суражского городского поселения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Суражского района Брянской области 2023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гг.»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 w:rsidP="0060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57118,1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96617,9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39499,8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169,2</w:t>
            </w:r>
          </w:p>
        </w:tc>
      </w:tr>
      <w:tr w:rsidR="002D4190" w:rsidRPr="00751A18" w:rsidTr="002B2003">
        <w:trPr>
          <w:trHeight w:val="545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751A18" w:rsidRDefault="002D4190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DE05B6" w:rsidRDefault="002D4190" w:rsidP="00C04D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«Развитие культуры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Суражского городского поселения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04D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Суражского района Брянской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гг.»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 w:rsidP="0060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2D4190" w:rsidRPr="00751A18" w:rsidTr="002B2003">
        <w:trPr>
          <w:trHeight w:val="633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751A18" w:rsidRDefault="002D4190" w:rsidP="00EC5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90" w:rsidRPr="00DE05B6" w:rsidRDefault="002D4190" w:rsidP="00EF57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«Развитие малого и среднего предпринимательства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территории </w:t>
            </w:r>
            <w:r w:rsidRPr="00C04D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Суражского района Брянской области 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гг.»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 w:rsidP="0060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D4190" w:rsidRPr="00751A18" w:rsidTr="002B2003">
        <w:trPr>
          <w:trHeight w:val="633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190" w:rsidRPr="00751A18" w:rsidRDefault="002D4190" w:rsidP="00602F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190" w:rsidRPr="00DE05B6" w:rsidRDefault="002D4190" w:rsidP="00602F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Суражского городского поселения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0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Суражского района Брянской области 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2018-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  <w:r w:rsidRPr="00DE05B6">
              <w:rPr>
                <w:rFonts w:ascii="Times New Roman" w:eastAsia="Times New Roman" w:hAnsi="Times New Roman" w:cs="Times New Roman"/>
                <w:sz w:val="16"/>
                <w:szCs w:val="16"/>
              </w:rPr>
              <w:t>гг.»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190" w:rsidRPr="004024D4" w:rsidRDefault="002D4190" w:rsidP="0060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190" w:rsidRPr="004024D4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-82771,0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D4190" w:rsidRPr="00751A18" w:rsidTr="002B2003">
        <w:trPr>
          <w:trHeight w:val="300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190" w:rsidRPr="00751A18" w:rsidRDefault="002D4190" w:rsidP="00EC59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190" w:rsidRPr="00751A18" w:rsidRDefault="002D4190" w:rsidP="00EC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 w:rsidP="00602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4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147994,1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4024D4" w:rsidRDefault="002D41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105072,9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-42921,2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190" w:rsidRPr="002D4190" w:rsidRDefault="002D41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41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71,0</w:t>
            </w:r>
          </w:p>
        </w:tc>
      </w:tr>
    </w:tbl>
    <w:p w:rsidR="00543554" w:rsidRDefault="00555011" w:rsidP="00A514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F3">
        <w:rPr>
          <w:rFonts w:ascii="Times New Roman" w:eastAsia="Times New Roman" w:hAnsi="Times New Roman" w:cs="Times New Roman"/>
          <w:sz w:val="24"/>
          <w:szCs w:val="24"/>
        </w:rPr>
        <w:t>Непрограмм</w:t>
      </w:r>
      <w:r w:rsidR="00983A18" w:rsidRPr="001D1FF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D1FF3">
        <w:rPr>
          <w:rFonts w:ascii="Times New Roman" w:eastAsia="Times New Roman" w:hAnsi="Times New Roman" w:cs="Times New Roman"/>
          <w:sz w:val="24"/>
          <w:szCs w:val="24"/>
        </w:rPr>
        <w:t xml:space="preserve">ые расходы бюджета на </w:t>
      </w:r>
      <w:r w:rsidR="005003A4" w:rsidRPr="001D1F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D1F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03A4" w:rsidRPr="001D1FF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1FF3">
        <w:rPr>
          <w:rFonts w:ascii="Times New Roman" w:eastAsia="Times New Roman" w:hAnsi="Times New Roman" w:cs="Times New Roman"/>
          <w:sz w:val="24"/>
          <w:szCs w:val="24"/>
        </w:rPr>
        <w:t xml:space="preserve"> годы предусмотрены в сумме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102,0</w:t>
      </w:r>
      <w:r w:rsidRPr="001D1FF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2602,0</w:t>
      </w:r>
      <w:r w:rsidRPr="001D1FF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5452,0</w:t>
      </w:r>
      <w:r w:rsidRPr="00555011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соответственно (резервный фонд и условно утверждаемые рас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55011">
        <w:rPr>
          <w:rFonts w:ascii="Times New Roman" w:eastAsia="Times New Roman" w:hAnsi="Times New Roman" w:cs="Times New Roman"/>
          <w:sz w:val="24"/>
          <w:szCs w:val="24"/>
        </w:rPr>
        <w:t>оды).</w:t>
      </w:r>
      <w:r w:rsidR="007B0327">
        <w:rPr>
          <w:rFonts w:ascii="Times New Roman" w:eastAsia="Times New Roman" w:hAnsi="Times New Roman" w:cs="Times New Roman"/>
          <w:sz w:val="24"/>
          <w:szCs w:val="24"/>
        </w:rPr>
        <w:t xml:space="preserve"> Непрограммные расходы в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0327">
        <w:rPr>
          <w:rFonts w:ascii="Times New Roman" w:eastAsia="Times New Roman" w:hAnsi="Times New Roman" w:cs="Times New Roman"/>
          <w:sz w:val="24"/>
          <w:szCs w:val="24"/>
        </w:rPr>
        <w:t xml:space="preserve"> году занимают 0,</w:t>
      </w:r>
      <w:r w:rsidR="006767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0327">
        <w:rPr>
          <w:rFonts w:ascii="Times New Roman" w:eastAsia="Times New Roman" w:hAnsi="Times New Roman" w:cs="Times New Roman"/>
          <w:sz w:val="24"/>
          <w:szCs w:val="24"/>
        </w:rPr>
        <w:t>% от общих расходов бюджета</w:t>
      </w:r>
      <w:r w:rsidR="00543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966" w:rsidRDefault="00543554" w:rsidP="00543554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C5966" w:rsidRPr="003F1A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EC5966" w:rsidRPr="0052236E" w:rsidRDefault="00EC5966" w:rsidP="005A7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36E">
        <w:rPr>
          <w:rFonts w:ascii="Times New Roman" w:hAnsi="Times New Roman" w:cs="Times New Roman"/>
          <w:sz w:val="24"/>
          <w:szCs w:val="24"/>
        </w:rPr>
        <w:t xml:space="preserve">Проект решения администрацией Суражского района внесен в Контрольно-счётную </w:t>
      </w:r>
      <w:r w:rsidR="002A1C50">
        <w:rPr>
          <w:rFonts w:ascii="Times New Roman" w:hAnsi="Times New Roman" w:cs="Times New Roman"/>
          <w:sz w:val="24"/>
          <w:szCs w:val="24"/>
        </w:rPr>
        <w:t>па</w:t>
      </w:r>
      <w:r w:rsidRPr="0052236E">
        <w:rPr>
          <w:rFonts w:ascii="Times New Roman" w:hAnsi="Times New Roman" w:cs="Times New Roman"/>
          <w:sz w:val="24"/>
          <w:szCs w:val="24"/>
        </w:rPr>
        <w:t>лату Суражского муниципального района 1</w:t>
      </w:r>
      <w:r w:rsidR="009E7C91">
        <w:rPr>
          <w:rFonts w:ascii="Times New Roman" w:hAnsi="Times New Roman" w:cs="Times New Roman"/>
          <w:sz w:val="24"/>
          <w:szCs w:val="24"/>
        </w:rPr>
        <w:t>4</w:t>
      </w:r>
      <w:r w:rsidRPr="0052236E">
        <w:rPr>
          <w:rFonts w:ascii="Times New Roman" w:hAnsi="Times New Roman" w:cs="Times New Roman"/>
          <w:sz w:val="24"/>
          <w:szCs w:val="24"/>
        </w:rPr>
        <w:t>.11.</w:t>
      </w:r>
      <w:r w:rsidR="005003A4">
        <w:rPr>
          <w:rFonts w:ascii="Times New Roman" w:hAnsi="Times New Roman" w:cs="Times New Roman"/>
          <w:sz w:val="24"/>
          <w:szCs w:val="24"/>
        </w:rPr>
        <w:t>202</w:t>
      </w:r>
      <w:r w:rsidR="001750D6">
        <w:rPr>
          <w:rFonts w:ascii="Times New Roman" w:hAnsi="Times New Roman" w:cs="Times New Roman"/>
          <w:sz w:val="24"/>
          <w:szCs w:val="24"/>
        </w:rPr>
        <w:t>4</w:t>
      </w:r>
      <w:r w:rsidRPr="0052236E">
        <w:rPr>
          <w:rFonts w:ascii="Times New Roman" w:hAnsi="Times New Roman" w:cs="Times New Roman"/>
          <w:sz w:val="24"/>
          <w:szCs w:val="24"/>
        </w:rPr>
        <w:t>г.,</w:t>
      </w:r>
      <w:r w:rsidRPr="005223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36E">
        <w:rPr>
          <w:rFonts w:ascii="Times New Roman" w:hAnsi="Times New Roman" w:cs="Times New Roman"/>
          <w:sz w:val="24"/>
          <w:szCs w:val="24"/>
        </w:rPr>
        <w:t xml:space="preserve">что соответствует п. 1 ст. 185 Бюджетного кодекса, п. 1 статьи 4 решения Совета народных депутатов  города Суража от 23.10.2015 года №73 «О порядке составления, рассмотрения и утверждения бюджета </w:t>
      </w:r>
      <w:r w:rsidR="009C2D06">
        <w:rPr>
          <w:rFonts w:ascii="Times New Roman" w:hAnsi="Times New Roman" w:cs="Times New Roman"/>
          <w:sz w:val="24"/>
          <w:szCs w:val="24"/>
        </w:rPr>
        <w:t>Суражского городского поселения</w:t>
      </w:r>
      <w:r w:rsidRPr="0052236E">
        <w:rPr>
          <w:rFonts w:ascii="Times New Roman" w:hAnsi="Times New Roman" w:cs="Times New Roman"/>
          <w:sz w:val="24"/>
          <w:szCs w:val="24"/>
        </w:rPr>
        <w:t>» (с учетом внесенных изменений</w:t>
      </w:r>
      <w:r w:rsidR="00D73026" w:rsidRPr="0052236E">
        <w:rPr>
          <w:rFonts w:ascii="Times New Roman" w:hAnsi="Times New Roman" w:cs="Times New Roman"/>
          <w:sz w:val="24"/>
          <w:szCs w:val="24"/>
        </w:rPr>
        <w:t>)</w:t>
      </w:r>
      <w:r w:rsidRPr="0052236E">
        <w:rPr>
          <w:rFonts w:ascii="Times New Roman" w:hAnsi="Times New Roman" w:cs="Times New Roman"/>
          <w:sz w:val="24"/>
          <w:szCs w:val="24"/>
        </w:rPr>
        <w:t>.</w:t>
      </w:r>
    </w:p>
    <w:p w:rsidR="00BA15BB" w:rsidRDefault="0052236E" w:rsidP="005A7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5BB" w:rsidRPr="0052236E">
        <w:rPr>
          <w:rFonts w:ascii="Times New Roman" w:hAnsi="Times New Roman" w:cs="Times New Roman"/>
          <w:sz w:val="24"/>
          <w:szCs w:val="24"/>
        </w:rPr>
        <w:t>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опубликован.</w:t>
      </w:r>
    </w:p>
    <w:p w:rsidR="0052236E" w:rsidRPr="0052236E" w:rsidRDefault="0052236E" w:rsidP="005A71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6E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пп.2 пункта 3 статьи 28 Закона №131-ФЗ проект бюджета  вынесен на публичные слушания.</w:t>
      </w:r>
    </w:p>
    <w:p w:rsidR="00BA15BB" w:rsidRPr="0052236E" w:rsidRDefault="0052236E" w:rsidP="005A7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15BB" w:rsidRPr="0052236E">
        <w:rPr>
          <w:rFonts w:ascii="Times New Roman" w:hAnsi="Times New Roman" w:cs="Times New Roman"/>
          <w:sz w:val="24"/>
          <w:szCs w:val="24"/>
        </w:rPr>
        <w:t xml:space="preserve">Проект решения о бюджете </w:t>
      </w:r>
      <w:r w:rsidR="006E5E6C" w:rsidRPr="0052236E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F0225F">
        <w:rPr>
          <w:rFonts w:ascii="Times New Roman" w:hAnsi="Times New Roman" w:cs="Times New Roman"/>
          <w:sz w:val="24"/>
          <w:szCs w:val="24"/>
        </w:rPr>
        <w:t>удовлетворяет</w:t>
      </w:r>
      <w:r w:rsidR="00BA15BB" w:rsidRPr="0052236E">
        <w:rPr>
          <w:rFonts w:ascii="Times New Roman" w:hAnsi="Times New Roman" w:cs="Times New Roman"/>
          <w:sz w:val="24"/>
          <w:szCs w:val="24"/>
        </w:rPr>
        <w:t xml:space="preserve">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:rsidR="006E5E6C" w:rsidRPr="0052236E" w:rsidRDefault="0052236E" w:rsidP="005A7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9C2D06">
        <w:rPr>
          <w:rFonts w:ascii="Times New Roman" w:hAnsi="Times New Roman" w:cs="Times New Roman"/>
          <w:sz w:val="24"/>
          <w:szCs w:val="24"/>
        </w:rPr>
        <w:t>Суражского городского поселения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 на </w:t>
      </w:r>
      <w:r w:rsidR="005003A4">
        <w:rPr>
          <w:rFonts w:ascii="Times New Roman" w:hAnsi="Times New Roman" w:cs="Times New Roman"/>
          <w:sz w:val="24"/>
          <w:szCs w:val="24"/>
        </w:rPr>
        <w:t>202</w:t>
      </w:r>
      <w:r w:rsidR="001750D6">
        <w:rPr>
          <w:rFonts w:ascii="Times New Roman" w:hAnsi="Times New Roman" w:cs="Times New Roman"/>
          <w:sz w:val="24"/>
          <w:szCs w:val="24"/>
        </w:rPr>
        <w:t>5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844568">
        <w:rPr>
          <w:rFonts w:ascii="Times New Roman" w:hAnsi="Times New Roman" w:cs="Times New Roman"/>
          <w:sz w:val="24"/>
          <w:szCs w:val="24"/>
        </w:rPr>
        <w:t>на период до 202</w:t>
      </w:r>
      <w:r w:rsidR="001750D6">
        <w:rPr>
          <w:rFonts w:ascii="Times New Roman" w:hAnsi="Times New Roman" w:cs="Times New Roman"/>
          <w:sz w:val="24"/>
          <w:szCs w:val="24"/>
        </w:rPr>
        <w:t>7</w:t>
      </w:r>
      <w:r w:rsidR="008445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5E6C" w:rsidRPr="0052236E">
        <w:rPr>
          <w:rFonts w:ascii="Times New Roman" w:hAnsi="Times New Roman" w:cs="Times New Roman"/>
          <w:sz w:val="24"/>
          <w:szCs w:val="24"/>
        </w:rPr>
        <w:t>.</w:t>
      </w:r>
    </w:p>
    <w:p w:rsidR="00EC5966" w:rsidRPr="0052236E" w:rsidRDefault="0052236E" w:rsidP="00C37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Исполнена статья 184.1 БК РФ в части состава </w:t>
      </w:r>
      <w:r w:rsidR="006E5E6C" w:rsidRPr="0052236E">
        <w:rPr>
          <w:rFonts w:ascii="Times New Roman" w:hAnsi="Times New Roman" w:cs="Times New Roman"/>
          <w:sz w:val="24"/>
          <w:szCs w:val="24"/>
        </w:rPr>
        <w:t>основных характеристик бюджета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, утверждаемых в проекте </w:t>
      </w:r>
      <w:r w:rsidR="006E5E6C" w:rsidRPr="0052236E">
        <w:rPr>
          <w:rFonts w:ascii="Times New Roman" w:hAnsi="Times New Roman" w:cs="Times New Roman"/>
          <w:sz w:val="24"/>
          <w:szCs w:val="24"/>
        </w:rPr>
        <w:t xml:space="preserve">решения «О </w:t>
      </w:r>
      <w:r w:rsidR="00EC5966" w:rsidRPr="0052236E">
        <w:rPr>
          <w:rFonts w:ascii="Times New Roman" w:hAnsi="Times New Roman" w:cs="Times New Roman"/>
          <w:sz w:val="24"/>
          <w:szCs w:val="24"/>
        </w:rPr>
        <w:t>бюджет</w:t>
      </w:r>
      <w:r w:rsidR="006E5E6C" w:rsidRPr="0052236E">
        <w:rPr>
          <w:rFonts w:ascii="Times New Roman" w:hAnsi="Times New Roman" w:cs="Times New Roman"/>
          <w:sz w:val="24"/>
          <w:szCs w:val="24"/>
        </w:rPr>
        <w:t>е</w:t>
      </w:r>
      <w:r w:rsidR="00EC5966" w:rsidRPr="0052236E">
        <w:rPr>
          <w:rFonts w:ascii="Times New Roman" w:hAnsi="Times New Roman" w:cs="Times New Roman"/>
          <w:sz w:val="24"/>
          <w:szCs w:val="24"/>
        </w:rPr>
        <w:t xml:space="preserve"> </w:t>
      </w:r>
      <w:r w:rsidR="009C2D06">
        <w:rPr>
          <w:rFonts w:ascii="Times New Roman" w:hAnsi="Times New Roman" w:cs="Times New Roman"/>
          <w:sz w:val="24"/>
          <w:szCs w:val="24"/>
        </w:rPr>
        <w:t>Суражского городского поселения</w:t>
      </w:r>
      <w:r w:rsidR="006E5E6C" w:rsidRPr="0052236E">
        <w:rPr>
          <w:rFonts w:ascii="Times New Roman" w:hAnsi="Times New Roman" w:cs="Times New Roman"/>
          <w:sz w:val="24"/>
          <w:szCs w:val="24"/>
        </w:rPr>
        <w:t xml:space="preserve"> </w:t>
      </w:r>
      <w:r w:rsidR="0011415C">
        <w:rPr>
          <w:rFonts w:ascii="Times New Roman" w:hAnsi="Times New Roman" w:cs="Times New Roman"/>
          <w:sz w:val="24"/>
          <w:szCs w:val="24"/>
        </w:rPr>
        <w:t xml:space="preserve">на </w:t>
      </w:r>
      <w:r w:rsidR="004842DA">
        <w:rPr>
          <w:rFonts w:ascii="Times New Roman" w:hAnsi="Times New Roman" w:cs="Times New Roman"/>
          <w:sz w:val="24"/>
          <w:szCs w:val="24"/>
        </w:rPr>
        <w:t xml:space="preserve">2025 год и плановый период 2026-2027 </w:t>
      </w:r>
      <w:r w:rsidR="0011415C">
        <w:rPr>
          <w:rFonts w:ascii="Times New Roman" w:hAnsi="Times New Roman" w:cs="Times New Roman"/>
          <w:sz w:val="24"/>
          <w:szCs w:val="24"/>
        </w:rPr>
        <w:t>годов</w:t>
      </w:r>
      <w:r w:rsidR="006E5E6C" w:rsidRPr="0052236E">
        <w:rPr>
          <w:rFonts w:ascii="Times New Roman" w:hAnsi="Times New Roman" w:cs="Times New Roman"/>
          <w:sz w:val="24"/>
          <w:szCs w:val="24"/>
        </w:rPr>
        <w:t>»</w:t>
      </w:r>
      <w:r w:rsidR="00C17977" w:rsidRPr="0052236E">
        <w:rPr>
          <w:rFonts w:ascii="Times New Roman" w:hAnsi="Times New Roman" w:cs="Times New Roman"/>
          <w:sz w:val="24"/>
          <w:szCs w:val="24"/>
        </w:rPr>
        <w:t>.</w:t>
      </w:r>
    </w:p>
    <w:p w:rsidR="00C17977" w:rsidRPr="0052236E" w:rsidRDefault="00C17977" w:rsidP="00C373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36E">
        <w:rPr>
          <w:rFonts w:ascii="Times New Roman" w:hAnsi="Times New Roman" w:cs="Times New Roman"/>
          <w:bCs/>
          <w:sz w:val="24"/>
          <w:szCs w:val="24"/>
        </w:rPr>
        <w:t>Соблюдена  ст. 179.4  п. 5 Бюджетного кодекса РФ в части утверждения объема бюджетных ассигнований муниципального дорожного фонда.</w:t>
      </w:r>
    </w:p>
    <w:p w:rsidR="001750D6" w:rsidRPr="001750D6" w:rsidRDefault="00C159FE" w:rsidP="001750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E7">
        <w:rPr>
          <w:rFonts w:ascii="Times New Roman" w:eastAsia="Times New Roman" w:hAnsi="Times New Roman" w:cs="Times New Roman"/>
          <w:sz w:val="24"/>
          <w:szCs w:val="24"/>
        </w:rPr>
        <w:t xml:space="preserve">Объем доходов, определенный в проекте решения на </w:t>
      </w:r>
      <w:r w:rsidR="005003A4" w:rsidRPr="00E80F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0FE7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E80FE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45215">
        <w:rPr>
          <w:rFonts w:ascii="Times New Roman" w:eastAsia="Times New Roman" w:hAnsi="Times New Roman" w:cs="Times New Roman"/>
          <w:sz w:val="24"/>
          <w:szCs w:val="24"/>
        </w:rPr>
        <w:t>, что ниже ожидаемого исполнения за 202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5215"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93632,5</w:t>
      </w:r>
      <w:r w:rsidR="00E4521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47,1</w:t>
      </w:r>
      <w:r w:rsidR="00E4521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80F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50D6" w:rsidRPr="001750D6">
        <w:rPr>
          <w:rFonts w:ascii="Times New Roman" w:eastAsia="Times New Roman" w:hAnsi="Times New Roman" w:cs="Times New Roman"/>
          <w:sz w:val="24"/>
          <w:szCs w:val="24"/>
        </w:rPr>
        <w:t xml:space="preserve">Структура доходов 2025 года и планового периода 2026-2027 годов существенно   не отличается от структуры бюджета отчетного 2024 года. В прогнозируемом периоде 2025 года наибольший объем в структуре доходов налоговые доходы – 87,7%, увеличившись при этом к ожидаемому уровню исполнения 2024 года в 2,1 раза. В 2025 году безвозмездные поступления снижены в 5,9 раза, и их удельный вес составит 11,6%. Доля неналоговых доходов бюджета в 2025 году составит 0,7%, незначительно снизившись к ожидаемому уровню 2024 года на 0,1%. </w:t>
      </w:r>
    </w:p>
    <w:p w:rsidR="001750D6" w:rsidRDefault="001750D6" w:rsidP="001750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D6">
        <w:rPr>
          <w:rFonts w:ascii="Times New Roman" w:eastAsia="Times New Roman" w:hAnsi="Times New Roman" w:cs="Times New Roman"/>
          <w:sz w:val="24"/>
          <w:szCs w:val="24"/>
        </w:rPr>
        <w:t>В прогнозируемом периоде 2026-2027 года наибольший объем в структуре доходов будут занимать налоговые доходы – 88,5% и 89,2% соответственно. Неналоговые доходы в структуре доходов составят по 0,6% соответственно. Безвозмездные поступления планируются с удельным весом 10,9 и 10,2%%  соответственно.</w:t>
      </w:r>
    </w:p>
    <w:p w:rsidR="0071295E" w:rsidRDefault="0071295E" w:rsidP="001750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4744">
        <w:rPr>
          <w:rFonts w:ascii="Times New Roman" w:eastAsia="Times New Roman" w:hAnsi="Times New Roman" w:cs="Times New Roman"/>
          <w:sz w:val="24"/>
          <w:szCs w:val="24"/>
        </w:rPr>
        <w:t>Прогнозирование собственных доходов отвечает нормам, установленными статьей 174.1 Бюджетного кодекса Российской Федерации, в условиях действующего на день внесения проекта решения о бюджете в законодательный (представительный) орган, законодательства о налогах и сборах и бюджетного законодательства.</w:t>
      </w:r>
      <w:proofErr w:type="gramEnd"/>
      <w:r w:rsidR="0017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При расчетах соблюдены положения нормативно-правовых актов Российской Федерации и Брянской области, предусматривающие изменения в законодательство о налогах и сборах, вступающие в действие с 1 января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 года и последующие годы.</w:t>
      </w:r>
    </w:p>
    <w:p w:rsidR="00AA08B3" w:rsidRPr="001C716B" w:rsidRDefault="00AA08B3" w:rsidP="00C373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16B">
        <w:rPr>
          <w:rFonts w:ascii="Times New Roman" w:eastAsia="Times New Roman" w:hAnsi="Times New Roman" w:cs="Times New Roman"/>
          <w:sz w:val="24"/>
          <w:szCs w:val="24"/>
        </w:rPr>
        <w:t>Объем расходов, определенный в проекте решения на 202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105174,9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отношению к объему расходов, ожидаемому в</w:t>
      </w:r>
      <w:r w:rsidRPr="001C7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1750D6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1C7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году расходы, определенные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ниже на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150844,5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58,9</w:t>
      </w:r>
      <w:r w:rsidRPr="001C716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373C9" w:rsidRDefault="00C373C9" w:rsidP="00C373C9">
      <w:pPr>
        <w:pStyle w:val="21"/>
        <w:spacing w:after="0" w:line="276" w:lineRule="auto"/>
        <w:ind w:left="0"/>
        <w:contextualSpacing/>
        <w:jc w:val="both"/>
      </w:pPr>
      <w:r w:rsidRPr="003F1AD2">
        <w:t>Приоритетным</w:t>
      </w:r>
      <w:r>
        <w:t>и</w:t>
      </w:r>
      <w:r w:rsidRPr="003F1AD2">
        <w:t xml:space="preserve"> направлени</w:t>
      </w:r>
      <w:r>
        <w:t>ями</w:t>
      </w:r>
      <w:r w:rsidRPr="003F1AD2">
        <w:t xml:space="preserve"> расходов бюджета </w:t>
      </w:r>
      <w:r>
        <w:t>Суражского городского поселения</w:t>
      </w:r>
      <w:r w:rsidRPr="003F1AD2">
        <w:t xml:space="preserve"> </w:t>
      </w:r>
      <w:r w:rsidR="004842DA">
        <w:t>на 2025 год и на плановый период 2026 и 2027 годов</w:t>
      </w:r>
      <w:r w:rsidRPr="003F1AD2">
        <w:t xml:space="preserve"> явля</w:t>
      </w:r>
      <w:r>
        <w:t>ются</w:t>
      </w:r>
      <w:r w:rsidRPr="003F1AD2">
        <w:t xml:space="preserve"> </w:t>
      </w:r>
      <w:r>
        <w:t xml:space="preserve">национальная экономика и </w:t>
      </w:r>
      <w:r w:rsidRPr="003F1AD2">
        <w:t>жилищно-коммунальное хозяйство</w:t>
      </w:r>
      <w:r>
        <w:t xml:space="preserve">. </w:t>
      </w:r>
    </w:p>
    <w:p w:rsidR="00C373C9" w:rsidRDefault="00C373C9" w:rsidP="00C373C9">
      <w:pPr>
        <w:pStyle w:val="21"/>
        <w:spacing w:after="0" w:line="276" w:lineRule="auto"/>
        <w:ind w:left="0"/>
        <w:contextualSpacing/>
        <w:jc w:val="both"/>
      </w:pPr>
      <w:r w:rsidRPr="00FE0126">
        <w:t xml:space="preserve">Наибольший удельный вес в общем объеме расходов бюджета на </w:t>
      </w:r>
      <w:r>
        <w:t>202</w:t>
      </w:r>
      <w:r w:rsidR="001750D6">
        <w:t>5</w:t>
      </w:r>
      <w:r w:rsidRPr="00FE0126">
        <w:t>-</w:t>
      </w:r>
      <w:r>
        <w:t>202</w:t>
      </w:r>
      <w:r w:rsidR="001750D6">
        <w:t>7</w:t>
      </w:r>
      <w:r w:rsidRPr="00FE0126">
        <w:t xml:space="preserve"> годы занимают разделы:</w:t>
      </w:r>
    </w:p>
    <w:p w:rsidR="00C373C9" w:rsidRDefault="00C373C9" w:rsidP="00C373C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sz w:val="24"/>
          <w:szCs w:val="24"/>
        </w:rPr>
        <w:tab/>
        <w:t xml:space="preserve">- «Национальная экономика»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54,7</w:t>
      </w:r>
      <w:r w:rsidRPr="00FE0126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33,6</w:t>
      </w:r>
      <w:r w:rsidRPr="00FE0126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32,4</w:t>
      </w:r>
      <w:r w:rsidRPr="00FE0126">
        <w:rPr>
          <w:rFonts w:ascii="Times New Roman" w:eastAsia="Times New Roman" w:hAnsi="Times New Roman" w:cs="Times New Roman"/>
          <w:sz w:val="24"/>
          <w:szCs w:val="24"/>
        </w:rPr>
        <w:t>% соответственно;</w:t>
      </w:r>
    </w:p>
    <w:p w:rsidR="001750D6" w:rsidRPr="00FE0126" w:rsidRDefault="001750D6" w:rsidP="00C373C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0D6">
        <w:rPr>
          <w:rFonts w:ascii="Times New Roman" w:eastAsia="Times New Roman" w:hAnsi="Times New Roman" w:cs="Times New Roman"/>
          <w:sz w:val="24"/>
          <w:szCs w:val="24"/>
        </w:rPr>
        <w:t xml:space="preserve">           - «Жилищно-коммунальное хозяйство» – </w:t>
      </w:r>
      <w:r>
        <w:rPr>
          <w:rFonts w:ascii="Times New Roman" w:eastAsia="Times New Roman" w:hAnsi="Times New Roman" w:cs="Times New Roman"/>
          <w:sz w:val="24"/>
          <w:szCs w:val="24"/>
        </w:rPr>
        <w:t>37,1</w:t>
      </w:r>
      <w:r w:rsidRPr="001750D6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eastAsia="Times New Roman" w:hAnsi="Times New Roman" w:cs="Times New Roman"/>
          <w:sz w:val="24"/>
          <w:szCs w:val="24"/>
        </w:rPr>
        <w:t>56,5</w:t>
      </w:r>
      <w:r w:rsidRPr="001750D6"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r>
        <w:rPr>
          <w:rFonts w:ascii="Times New Roman" w:eastAsia="Times New Roman" w:hAnsi="Times New Roman" w:cs="Times New Roman"/>
          <w:sz w:val="24"/>
          <w:szCs w:val="24"/>
        </w:rPr>
        <w:t>55,8</w:t>
      </w:r>
      <w:r w:rsidRPr="001750D6">
        <w:rPr>
          <w:rFonts w:ascii="Times New Roman" w:eastAsia="Times New Roman" w:hAnsi="Times New Roman" w:cs="Times New Roman"/>
          <w:sz w:val="24"/>
          <w:szCs w:val="24"/>
        </w:rPr>
        <w:t xml:space="preserve"> % соответственно;</w:t>
      </w:r>
    </w:p>
    <w:p w:rsidR="00D7127A" w:rsidRDefault="00C373C9" w:rsidP="00D81A0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sz w:val="24"/>
          <w:szCs w:val="24"/>
        </w:rPr>
        <w:tab/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году занимают расходы по  разделу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 xml:space="preserve">10 «Социальная политика» менее 0,1% и 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>01 «Общегосударственные вопросы»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0D6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в расходах бюджета</w:t>
      </w:r>
      <w:r w:rsidRPr="003F1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1A0B" w:rsidRPr="00D81A0B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 по отраслям «социального блока» (культура, социальная политика) составит в 2025 году 91,8% (96551,7 тыс. рублей) объема расходов бюджета, что ниже на  4,5 процентных пункта (96,3%) оценки исполнения 2024 года. </w:t>
      </w:r>
      <w:r w:rsidR="00D81A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 xml:space="preserve">Условно утверждаемые расходы на плановый период 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1A0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3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1A0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D81A0B">
        <w:rPr>
          <w:rFonts w:ascii="Times New Roman" w:eastAsia="Times New Roman" w:hAnsi="Times New Roman" w:cs="Times New Roman"/>
          <w:sz w:val="24"/>
          <w:szCs w:val="24"/>
        </w:rPr>
        <w:t>2500,0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81A0B">
        <w:rPr>
          <w:rFonts w:ascii="Times New Roman" w:eastAsia="Times New Roman" w:hAnsi="Times New Roman" w:cs="Times New Roman"/>
          <w:sz w:val="24"/>
          <w:szCs w:val="24"/>
        </w:rPr>
        <w:t>5350,0</w:t>
      </w:r>
      <w:r w:rsidR="00382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D7127A" w:rsidRPr="004B389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3F60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>,5</w:t>
      </w:r>
      <w:r w:rsidR="00D7127A" w:rsidRPr="004B38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708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>,0%</w:t>
      </w:r>
      <w:r w:rsidR="00D7127A" w:rsidRPr="0089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044" w:rsidRPr="003F6044">
        <w:rPr>
          <w:rFonts w:ascii="Times New Roman" w:eastAsia="Times New Roman" w:hAnsi="Times New Roman" w:cs="Times New Roman"/>
          <w:sz w:val="24"/>
          <w:szCs w:val="24"/>
        </w:rPr>
        <w:t xml:space="preserve">расходов бюджета (без учета расходов бюджета, предусмотренных за счет межбюджетных трансфертов из </w:t>
      </w:r>
      <w:r w:rsidR="003F6044" w:rsidRPr="003F6044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бюджетов бюджетной системы Российской Федерации, имеющих целевое назначение)</w:t>
      </w:r>
      <w:r w:rsidR="003F6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127A">
        <w:rPr>
          <w:rFonts w:ascii="Times New Roman" w:eastAsia="Times New Roman" w:hAnsi="Times New Roman" w:cs="Times New Roman"/>
          <w:sz w:val="24"/>
          <w:szCs w:val="24"/>
        </w:rPr>
        <w:t xml:space="preserve"> Ограничение ст. 184.1 Бюджетного кодекса РФ соблюдено.</w:t>
      </w:r>
    </w:p>
    <w:p w:rsidR="00EC5966" w:rsidRPr="00540516" w:rsidRDefault="00D7127A" w:rsidP="00C373C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C5966" w:rsidRPr="00540516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</w:t>
      </w:r>
      <w:r w:rsidR="004842DA" w:rsidRPr="00540516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EC5966" w:rsidRPr="00540516"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 по доходам и расходам. В </w:t>
      </w:r>
      <w:r w:rsidR="005003A4" w:rsidRPr="005405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5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5966" w:rsidRPr="00540516">
        <w:rPr>
          <w:rFonts w:ascii="Times New Roman" w:eastAsia="Times New Roman" w:hAnsi="Times New Roman" w:cs="Times New Roman"/>
          <w:sz w:val="24"/>
          <w:szCs w:val="24"/>
        </w:rPr>
        <w:t xml:space="preserve"> году согласно проект</w:t>
      </w:r>
      <w:r w:rsidR="0069010C" w:rsidRPr="0054051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5966" w:rsidRPr="00540516">
        <w:rPr>
          <w:rFonts w:ascii="Times New Roman" w:eastAsia="Times New Roman" w:hAnsi="Times New Roman" w:cs="Times New Roman"/>
          <w:sz w:val="24"/>
          <w:szCs w:val="24"/>
        </w:rPr>
        <w:t xml:space="preserve"> решения главным администратором источников финансирования дефицита бюджета является финансовый отдел администрации Суражского района. Так же утверждены источники внутреннего финансирования дефицита бюджета </w:t>
      </w:r>
      <w:r w:rsidR="004842DA" w:rsidRPr="00540516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EC5966" w:rsidRPr="00540516">
        <w:rPr>
          <w:rFonts w:ascii="Times New Roman" w:eastAsia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бюджета.</w:t>
      </w:r>
      <w:r w:rsidR="003B0308" w:rsidRPr="00540516">
        <w:rPr>
          <w:rFonts w:ascii="Times New Roman" w:hAnsi="Times New Roman" w:cs="Times New Roman"/>
          <w:sz w:val="24"/>
          <w:szCs w:val="24"/>
        </w:rPr>
        <w:t xml:space="preserve"> </w:t>
      </w:r>
      <w:r w:rsidR="0069010C" w:rsidRPr="00540516">
        <w:rPr>
          <w:rFonts w:ascii="Times New Roman" w:hAnsi="Times New Roman" w:cs="Times New Roman"/>
          <w:sz w:val="24"/>
          <w:szCs w:val="24"/>
        </w:rPr>
        <w:t>Таким образом</w:t>
      </w:r>
      <w:r w:rsidR="00020065" w:rsidRPr="00540516">
        <w:rPr>
          <w:rFonts w:ascii="Times New Roman" w:hAnsi="Times New Roman" w:cs="Times New Roman"/>
          <w:sz w:val="24"/>
          <w:szCs w:val="24"/>
        </w:rPr>
        <w:t>,</w:t>
      </w:r>
      <w:r w:rsidR="0069010C" w:rsidRPr="00540516">
        <w:rPr>
          <w:rFonts w:ascii="Times New Roman" w:hAnsi="Times New Roman" w:cs="Times New Roman"/>
          <w:sz w:val="24"/>
          <w:szCs w:val="24"/>
        </w:rPr>
        <w:t xml:space="preserve"> н</w:t>
      </w:r>
      <w:r w:rsidR="003B0308" w:rsidRPr="00540516">
        <w:rPr>
          <w:rFonts w:ascii="Times New Roman" w:eastAsia="Times New Roman" w:hAnsi="Times New Roman" w:cs="Times New Roman"/>
          <w:sz w:val="24"/>
          <w:szCs w:val="24"/>
        </w:rPr>
        <w:t>ормы п. 3 статьи 92.1 БК РФ – соблюдены.</w:t>
      </w:r>
    </w:p>
    <w:p w:rsidR="00D80517" w:rsidRDefault="00D80517" w:rsidP="00C37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517">
        <w:rPr>
          <w:rFonts w:ascii="Times New Roman" w:eastAsia="Times New Roman" w:hAnsi="Times New Roman" w:cs="Times New Roman"/>
          <w:sz w:val="24"/>
          <w:szCs w:val="24"/>
        </w:rPr>
        <w:t>В проекте  Решения «О бюджете Суражского городского поселения на 2025 год и на плановый период 2026 и 2027 годов»  расходы на реализацию целевых программ  в 2025 году составляют 105072,9 тыс. рублей, что  соответствует 99,9% объема расходов бюджета, и ниже первоначального плана бюджета на 2024 год на 42921,2 тыс. рублей, или на 29,0%.</w:t>
      </w:r>
      <w:proofErr w:type="gramEnd"/>
    </w:p>
    <w:p w:rsidR="00D80517" w:rsidRDefault="00D80517" w:rsidP="00C37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517">
        <w:rPr>
          <w:rFonts w:ascii="Times New Roman" w:eastAsia="Times New Roman" w:hAnsi="Times New Roman" w:cs="Times New Roman"/>
          <w:sz w:val="24"/>
          <w:szCs w:val="24"/>
        </w:rPr>
        <w:t>Непрограммные расходы бюджета на 2025- 2027 годы предусмотрены в сумме 102,0 тыс. рублей, 2602,0 тыс. рублей и 5452,0 тыс. рублей соответственно (резервный фонд и условно утверждаемые расходы). Непрограммные расходы в 2025 году занимают 0,1% от общих расходов бюджета.</w:t>
      </w:r>
    </w:p>
    <w:p w:rsidR="0090185C" w:rsidRDefault="00117153" w:rsidP="00C373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ПРЕДЛОЖЕНИЯ:</w:t>
      </w:r>
    </w:p>
    <w:p w:rsidR="00EC5966" w:rsidRPr="009F171E" w:rsidRDefault="009F171E" w:rsidP="00C373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C5966" w:rsidRPr="009F171E">
        <w:rPr>
          <w:rFonts w:ascii="Times New Roman" w:hAnsi="Times New Roman" w:cs="Times New Roman"/>
          <w:bCs/>
          <w:sz w:val="24"/>
          <w:szCs w:val="24"/>
        </w:rPr>
        <w:t xml:space="preserve">Контрольно-счетная палата Суражского муниципального района </w:t>
      </w:r>
      <w:r w:rsidR="00D21C5C">
        <w:rPr>
          <w:rFonts w:ascii="Times New Roman" w:hAnsi="Times New Roman" w:cs="Times New Roman"/>
          <w:bCs/>
          <w:sz w:val="24"/>
          <w:szCs w:val="24"/>
        </w:rPr>
        <w:t xml:space="preserve">замечаний по представленному проекту бюджета не имеет, и </w:t>
      </w:r>
      <w:r w:rsidR="00EC5966" w:rsidRPr="009F171E">
        <w:rPr>
          <w:rFonts w:ascii="Times New Roman" w:hAnsi="Times New Roman" w:cs="Times New Roman"/>
          <w:bCs/>
          <w:sz w:val="24"/>
          <w:szCs w:val="24"/>
        </w:rPr>
        <w:t xml:space="preserve">предлагает Совету народных  депутатов города Суража проект решения </w:t>
      </w:r>
      <w:r w:rsidR="00452F21" w:rsidRPr="00AC50EA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городского поселения  Суражского муниципального района Брянской области </w:t>
      </w:r>
      <w:r w:rsidR="004842DA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452F21" w:rsidRPr="00AC50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2D2A" w:rsidRPr="009F1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C5C">
        <w:rPr>
          <w:rFonts w:ascii="Times New Roman" w:hAnsi="Times New Roman" w:cs="Times New Roman"/>
          <w:bCs/>
          <w:sz w:val="24"/>
          <w:szCs w:val="24"/>
        </w:rPr>
        <w:t>к рассмотрению</w:t>
      </w:r>
      <w:r w:rsidR="00EC5966" w:rsidRPr="009F17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C5966" w:rsidRPr="00912C59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C59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EC5966" w:rsidRPr="00912C59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C59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EC5966" w:rsidRPr="00912C59" w:rsidRDefault="00EC5966" w:rsidP="00EC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C59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912C59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                          </w:t>
      </w:r>
      <w:r w:rsidR="004F4B95" w:rsidRPr="00912C59">
        <w:rPr>
          <w:rFonts w:ascii="Times New Roman" w:eastAsia="Times New Roman" w:hAnsi="Times New Roman" w:cs="Times New Roman"/>
          <w:sz w:val="24"/>
          <w:szCs w:val="24"/>
        </w:rPr>
        <w:t>Н. В. Жидкова</w:t>
      </w:r>
      <w:r w:rsidRPr="00912C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EC5966" w:rsidRPr="00912C59" w:rsidSect="009C5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179"/>
    <w:multiLevelType w:val="hybridMultilevel"/>
    <w:tmpl w:val="606225A8"/>
    <w:lvl w:ilvl="0" w:tplc="8D8E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327C9"/>
    <w:multiLevelType w:val="hybridMultilevel"/>
    <w:tmpl w:val="0B8EB0E2"/>
    <w:lvl w:ilvl="0" w:tplc="52A288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A75A98"/>
    <w:multiLevelType w:val="hybridMultilevel"/>
    <w:tmpl w:val="B002E4F0"/>
    <w:lvl w:ilvl="0" w:tplc="032026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F30739"/>
    <w:multiLevelType w:val="hybridMultilevel"/>
    <w:tmpl w:val="5DA861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8A3143"/>
    <w:multiLevelType w:val="hybridMultilevel"/>
    <w:tmpl w:val="3C76C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966"/>
    <w:rsid w:val="000014C8"/>
    <w:rsid w:val="00001C4C"/>
    <w:rsid w:val="000025D9"/>
    <w:rsid w:val="0000277C"/>
    <w:rsid w:val="0000284F"/>
    <w:rsid w:val="000040F2"/>
    <w:rsid w:val="000052D1"/>
    <w:rsid w:val="00012681"/>
    <w:rsid w:val="0001306C"/>
    <w:rsid w:val="0001492D"/>
    <w:rsid w:val="00015DFA"/>
    <w:rsid w:val="00016C2D"/>
    <w:rsid w:val="00017322"/>
    <w:rsid w:val="00020065"/>
    <w:rsid w:val="000218F2"/>
    <w:rsid w:val="00021E7F"/>
    <w:rsid w:val="00023948"/>
    <w:rsid w:val="00023D98"/>
    <w:rsid w:val="00025275"/>
    <w:rsid w:val="00030826"/>
    <w:rsid w:val="00030C11"/>
    <w:rsid w:val="00032684"/>
    <w:rsid w:val="0003276E"/>
    <w:rsid w:val="00033EC7"/>
    <w:rsid w:val="0004008E"/>
    <w:rsid w:val="00040FA1"/>
    <w:rsid w:val="00044E3F"/>
    <w:rsid w:val="00045A14"/>
    <w:rsid w:val="00046F0E"/>
    <w:rsid w:val="00047196"/>
    <w:rsid w:val="00047842"/>
    <w:rsid w:val="00062AE8"/>
    <w:rsid w:val="00063994"/>
    <w:rsid w:val="00063E88"/>
    <w:rsid w:val="0006449B"/>
    <w:rsid w:val="000665C3"/>
    <w:rsid w:val="00070770"/>
    <w:rsid w:val="00072421"/>
    <w:rsid w:val="00073411"/>
    <w:rsid w:val="000920DB"/>
    <w:rsid w:val="000933AE"/>
    <w:rsid w:val="00093A70"/>
    <w:rsid w:val="00093B22"/>
    <w:rsid w:val="000A1444"/>
    <w:rsid w:val="000A3630"/>
    <w:rsid w:val="000A4A01"/>
    <w:rsid w:val="000A51F9"/>
    <w:rsid w:val="000A6EBA"/>
    <w:rsid w:val="000A73A7"/>
    <w:rsid w:val="000A7DB2"/>
    <w:rsid w:val="000B052A"/>
    <w:rsid w:val="000B3174"/>
    <w:rsid w:val="000B3AA9"/>
    <w:rsid w:val="000C0980"/>
    <w:rsid w:val="000C712E"/>
    <w:rsid w:val="000C781C"/>
    <w:rsid w:val="000C7AF8"/>
    <w:rsid w:val="000D02F0"/>
    <w:rsid w:val="000D0849"/>
    <w:rsid w:val="000D09D9"/>
    <w:rsid w:val="000D1E70"/>
    <w:rsid w:val="000D4E2A"/>
    <w:rsid w:val="000D6EB3"/>
    <w:rsid w:val="000D7453"/>
    <w:rsid w:val="000E344B"/>
    <w:rsid w:val="000E3DD5"/>
    <w:rsid w:val="000E53ED"/>
    <w:rsid w:val="000E5C87"/>
    <w:rsid w:val="000E7612"/>
    <w:rsid w:val="000F0232"/>
    <w:rsid w:val="000F1BF9"/>
    <w:rsid w:val="000F2C2D"/>
    <w:rsid w:val="000F7913"/>
    <w:rsid w:val="0010044D"/>
    <w:rsid w:val="00100E37"/>
    <w:rsid w:val="001024C1"/>
    <w:rsid w:val="00102F9C"/>
    <w:rsid w:val="00103DAD"/>
    <w:rsid w:val="0010709B"/>
    <w:rsid w:val="00107611"/>
    <w:rsid w:val="001108BC"/>
    <w:rsid w:val="001119A8"/>
    <w:rsid w:val="00111BD5"/>
    <w:rsid w:val="00112FAC"/>
    <w:rsid w:val="0011415C"/>
    <w:rsid w:val="00117153"/>
    <w:rsid w:val="00122910"/>
    <w:rsid w:val="0012309F"/>
    <w:rsid w:val="00123589"/>
    <w:rsid w:val="00123848"/>
    <w:rsid w:val="001238BF"/>
    <w:rsid w:val="00123E59"/>
    <w:rsid w:val="00125E18"/>
    <w:rsid w:val="00126908"/>
    <w:rsid w:val="001304C8"/>
    <w:rsid w:val="00133966"/>
    <w:rsid w:val="001354FC"/>
    <w:rsid w:val="00140F8B"/>
    <w:rsid w:val="00141124"/>
    <w:rsid w:val="00143BAF"/>
    <w:rsid w:val="00144CEA"/>
    <w:rsid w:val="00145B2E"/>
    <w:rsid w:val="0014615C"/>
    <w:rsid w:val="00147494"/>
    <w:rsid w:val="00156C71"/>
    <w:rsid w:val="00157780"/>
    <w:rsid w:val="001667B1"/>
    <w:rsid w:val="00166D88"/>
    <w:rsid w:val="001676A5"/>
    <w:rsid w:val="0017195E"/>
    <w:rsid w:val="00172533"/>
    <w:rsid w:val="001750D6"/>
    <w:rsid w:val="00177EA3"/>
    <w:rsid w:val="001800D3"/>
    <w:rsid w:val="00180E06"/>
    <w:rsid w:val="00181C53"/>
    <w:rsid w:val="00181E73"/>
    <w:rsid w:val="00185C96"/>
    <w:rsid w:val="0019211F"/>
    <w:rsid w:val="00193C2B"/>
    <w:rsid w:val="001954EE"/>
    <w:rsid w:val="0019749F"/>
    <w:rsid w:val="001A2BF8"/>
    <w:rsid w:val="001A3D11"/>
    <w:rsid w:val="001A3DEB"/>
    <w:rsid w:val="001A473A"/>
    <w:rsid w:val="001A660C"/>
    <w:rsid w:val="001A6A23"/>
    <w:rsid w:val="001A761C"/>
    <w:rsid w:val="001B5465"/>
    <w:rsid w:val="001C15FC"/>
    <w:rsid w:val="001C465F"/>
    <w:rsid w:val="001C6241"/>
    <w:rsid w:val="001C716B"/>
    <w:rsid w:val="001D03F8"/>
    <w:rsid w:val="001D1FF3"/>
    <w:rsid w:val="001D4BEC"/>
    <w:rsid w:val="001D7503"/>
    <w:rsid w:val="001E1886"/>
    <w:rsid w:val="001E1BC5"/>
    <w:rsid w:val="001E4646"/>
    <w:rsid w:val="00205360"/>
    <w:rsid w:val="002104EA"/>
    <w:rsid w:val="002142AD"/>
    <w:rsid w:val="002169BC"/>
    <w:rsid w:val="002219C2"/>
    <w:rsid w:val="00222E41"/>
    <w:rsid w:val="00223021"/>
    <w:rsid w:val="0023120F"/>
    <w:rsid w:val="00231517"/>
    <w:rsid w:val="00231D0F"/>
    <w:rsid w:val="002355A5"/>
    <w:rsid w:val="00235BF9"/>
    <w:rsid w:val="0023649B"/>
    <w:rsid w:val="002368A3"/>
    <w:rsid w:val="002411C4"/>
    <w:rsid w:val="002440A9"/>
    <w:rsid w:val="00247015"/>
    <w:rsid w:val="00247715"/>
    <w:rsid w:val="00251E4D"/>
    <w:rsid w:val="00252487"/>
    <w:rsid w:val="0025624A"/>
    <w:rsid w:val="00260020"/>
    <w:rsid w:val="00261B40"/>
    <w:rsid w:val="00266A28"/>
    <w:rsid w:val="002670CF"/>
    <w:rsid w:val="00272444"/>
    <w:rsid w:val="00275DB8"/>
    <w:rsid w:val="00277423"/>
    <w:rsid w:val="00280413"/>
    <w:rsid w:val="002807CF"/>
    <w:rsid w:val="00283611"/>
    <w:rsid w:val="00284F32"/>
    <w:rsid w:val="0028598A"/>
    <w:rsid w:val="0028619A"/>
    <w:rsid w:val="0028678C"/>
    <w:rsid w:val="00290948"/>
    <w:rsid w:val="0029168A"/>
    <w:rsid w:val="00292337"/>
    <w:rsid w:val="00292F68"/>
    <w:rsid w:val="00295288"/>
    <w:rsid w:val="00295A2D"/>
    <w:rsid w:val="002972CA"/>
    <w:rsid w:val="00297C4E"/>
    <w:rsid w:val="00297D2C"/>
    <w:rsid w:val="002A1C50"/>
    <w:rsid w:val="002A1F7E"/>
    <w:rsid w:val="002A1FF7"/>
    <w:rsid w:val="002A3D54"/>
    <w:rsid w:val="002A5EEF"/>
    <w:rsid w:val="002A6593"/>
    <w:rsid w:val="002A7D65"/>
    <w:rsid w:val="002B2003"/>
    <w:rsid w:val="002B2CE4"/>
    <w:rsid w:val="002B4928"/>
    <w:rsid w:val="002B65BF"/>
    <w:rsid w:val="002C06C7"/>
    <w:rsid w:val="002C7864"/>
    <w:rsid w:val="002D04AE"/>
    <w:rsid w:val="002D08EC"/>
    <w:rsid w:val="002D0A7F"/>
    <w:rsid w:val="002D0D7B"/>
    <w:rsid w:val="002D2E8A"/>
    <w:rsid w:val="002D3E40"/>
    <w:rsid w:val="002D4190"/>
    <w:rsid w:val="002D4B0E"/>
    <w:rsid w:val="002D4F9F"/>
    <w:rsid w:val="002E07C0"/>
    <w:rsid w:val="002E6CB4"/>
    <w:rsid w:val="002E75AA"/>
    <w:rsid w:val="002F1C78"/>
    <w:rsid w:val="002F23DA"/>
    <w:rsid w:val="002F6912"/>
    <w:rsid w:val="00300654"/>
    <w:rsid w:val="0030261E"/>
    <w:rsid w:val="00307341"/>
    <w:rsid w:val="0031221D"/>
    <w:rsid w:val="00312AAE"/>
    <w:rsid w:val="00312B1C"/>
    <w:rsid w:val="0031315D"/>
    <w:rsid w:val="00313333"/>
    <w:rsid w:val="003139B6"/>
    <w:rsid w:val="00313F3E"/>
    <w:rsid w:val="003147CC"/>
    <w:rsid w:val="00314E7B"/>
    <w:rsid w:val="00315642"/>
    <w:rsid w:val="00316757"/>
    <w:rsid w:val="003221C6"/>
    <w:rsid w:val="00324329"/>
    <w:rsid w:val="003252E5"/>
    <w:rsid w:val="00327925"/>
    <w:rsid w:val="0033114F"/>
    <w:rsid w:val="003326B1"/>
    <w:rsid w:val="00332EED"/>
    <w:rsid w:val="00333914"/>
    <w:rsid w:val="0034455E"/>
    <w:rsid w:val="00344F31"/>
    <w:rsid w:val="00344F60"/>
    <w:rsid w:val="003453AB"/>
    <w:rsid w:val="00345434"/>
    <w:rsid w:val="00346D15"/>
    <w:rsid w:val="00347782"/>
    <w:rsid w:val="00347967"/>
    <w:rsid w:val="003524EB"/>
    <w:rsid w:val="00352A1E"/>
    <w:rsid w:val="00354CDF"/>
    <w:rsid w:val="00357ED7"/>
    <w:rsid w:val="00360642"/>
    <w:rsid w:val="003614B5"/>
    <w:rsid w:val="00361C5E"/>
    <w:rsid w:val="003642A2"/>
    <w:rsid w:val="003657CB"/>
    <w:rsid w:val="00365BB4"/>
    <w:rsid w:val="00373033"/>
    <w:rsid w:val="00376C7E"/>
    <w:rsid w:val="00377350"/>
    <w:rsid w:val="00380A2D"/>
    <w:rsid w:val="00380A79"/>
    <w:rsid w:val="00380CB4"/>
    <w:rsid w:val="00381151"/>
    <w:rsid w:val="003811F3"/>
    <w:rsid w:val="003822D1"/>
    <w:rsid w:val="00382DA4"/>
    <w:rsid w:val="00386EE7"/>
    <w:rsid w:val="00387445"/>
    <w:rsid w:val="00390DA2"/>
    <w:rsid w:val="00394866"/>
    <w:rsid w:val="00396535"/>
    <w:rsid w:val="003A378F"/>
    <w:rsid w:val="003A4256"/>
    <w:rsid w:val="003A4A3C"/>
    <w:rsid w:val="003A7B07"/>
    <w:rsid w:val="003B0308"/>
    <w:rsid w:val="003B1B5E"/>
    <w:rsid w:val="003B36A3"/>
    <w:rsid w:val="003B3B1C"/>
    <w:rsid w:val="003B7F4E"/>
    <w:rsid w:val="003C1EB5"/>
    <w:rsid w:val="003C5826"/>
    <w:rsid w:val="003C6404"/>
    <w:rsid w:val="003D0970"/>
    <w:rsid w:val="003D2EF3"/>
    <w:rsid w:val="003D6FE1"/>
    <w:rsid w:val="003E1015"/>
    <w:rsid w:val="003E374F"/>
    <w:rsid w:val="003E7FC0"/>
    <w:rsid w:val="003F1AD2"/>
    <w:rsid w:val="003F23A4"/>
    <w:rsid w:val="003F2517"/>
    <w:rsid w:val="003F3F2D"/>
    <w:rsid w:val="003F4633"/>
    <w:rsid w:val="003F6044"/>
    <w:rsid w:val="003F7939"/>
    <w:rsid w:val="004024D4"/>
    <w:rsid w:val="00402911"/>
    <w:rsid w:val="00404BE9"/>
    <w:rsid w:val="00405773"/>
    <w:rsid w:val="00406A3D"/>
    <w:rsid w:val="00413BFD"/>
    <w:rsid w:val="004158C5"/>
    <w:rsid w:val="00416431"/>
    <w:rsid w:val="00416BAE"/>
    <w:rsid w:val="00416CC3"/>
    <w:rsid w:val="00421CB5"/>
    <w:rsid w:val="00422024"/>
    <w:rsid w:val="004237C2"/>
    <w:rsid w:val="004237CF"/>
    <w:rsid w:val="00425865"/>
    <w:rsid w:val="00427285"/>
    <w:rsid w:val="00427369"/>
    <w:rsid w:val="00427B86"/>
    <w:rsid w:val="004300E7"/>
    <w:rsid w:val="0044081D"/>
    <w:rsid w:val="00443BE0"/>
    <w:rsid w:val="00443FB4"/>
    <w:rsid w:val="004447F5"/>
    <w:rsid w:val="004450D2"/>
    <w:rsid w:val="00446AD7"/>
    <w:rsid w:val="004474F9"/>
    <w:rsid w:val="0045045E"/>
    <w:rsid w:val="00452F21"/>
    <w:rsid w:val="00453CC0"/>
    <w:rsid w:val="00457A47"/>
    <w:rsid w:val="00457CAC"/>
    <w:rsid w:val="00461473"/>
    <w:rsid w:val="00463239"/>
    <w:rsid w:val="00470FB1"/>
    <w:rsid w:val="0047178D"/>
    <w:rsid w:val="00471B56"/>
    <w:rsid w:val="00471F67"/>
    <w:rsid w:val="004733B3"/>
    <w:rsid w:val="00474EB7"/>
    <w:rsid w:val="004824AF"/>
    <w:rsid w:val="004842DA"/>
    <w:rsid w:val="0048731A"/>
    <w:rsid w:val="00491BA1"/>
    <w:rsid w:val="0049357D"/>
    <w:rsid w:val="0049457A"/>
    <w:rsid w:val="004955AA"/>
    <w:rsid w:val="004959E6"/>
    <w:rsid w:val="004A2923"/>
    <w:rsid w:val="004A33E7"/>
    <w:rsid w:val="004A3B0F"/>
    <w:rsid w:val="004A4261"/>
    <w:rsid w:val="004A51D3"/>
    <w:rsid w:val="004A72DC"/>
    <w:rsid w:val="004B147F"/>
    <w:rsid w:val="004B3891"/>
    <w:rsid w:val="004B3997"/>
    <w:rsid w:val="004B588D"/>
    <w:rsid w:val="004C03DF"/>
    <w:rsid w:val="004C72C0"/>
    <w:rsid w:val="004D1099"/>
    <w:rsid w:val="004D3065"/>
    <w:rsid w:val="004D4389"/>
    <w:rsid w:val="004D7537"/>
    <w:rsid w:val="004F027F"/>
    <w:rsid w:val="004F33D8"/>
    <w:rsid w:val="004F4A56"/>
    <w:rsid w:val="004F4B95"/>
    <w:rsid w:val="004F56A1"/>
    <w:rsid w:val="004F7FCC"/>
    <w:rsid w:val="005003A4"/>
    <w:rsid w:val="00500849"/>
    <w:rsid w:val="00502C4A"/>
    <w:rsid w:val="00503B90"/>
    <w:rsid w:val="00510548"/>
    <w:rsid w:val="005123EB"/>
    <w:rsid w:val="00512B73"/>
    <w:rsid w:val="00513E9D"/>
    <w:rsid w:val="00516435"/>
    <w:rsid w:val="005167CE"/>
    <w:rsid w:val="00517982"/>
    <w:rsid w:val="00520010"/>
    <w:rsid w:val="005202E9"/>
    <w:rsid w:val="00521C9A"/>
    <w:rsid w:val="00521E9C"/>
    <w:rsid w:val="0052236E"/>
    <w:rsid w:val="00524595"/>
    <w:rsid w:val="005250EC"/>
    <w:rsid w:val="0052681D"/>
    <w:rsid w:val="005309F4"/>
    <w:rsid w:val="00532FD7"/>
    <w:rsid w:val="00533144"/>
    <w:rsid w:val="005345F5"/>
    <w:rsid w:val="005357A4"/>
    <w:rsid w:val="00540516"/>
    <w:rsid w:val="0054160A"/>
    <w:rsid w:val="00543554"/>
    <w:rsid w:val="005445FC"/>
    <w:rsid w:val="00546B96"/>
    <w:rsid w:val="0055032C"/>
    <w:rsid w:val="00551DFB"/>
    <w:rsid w:val="005523EB"/>
    <w:rsid w:val="00552C59"/>
    <w:rsid w:val="00555011"/>
    <w:rsid w:val="00561715"/>
    <w:rsid w:val="00561B5E"/>
    <w:rsid w:val="00565C4C"/>
    <w:rsid w:val="00565D24"/>
    <w:rsid w:val="0057073F"/>
    <w:rsid w:val="0057101A"/>
    <w:rsid w:val="005742D6"/>
    <w:rsid w:val="00575EBD"/>
    <w:rsid w:val="00576865"/>
    <w:rsid w:val="005774C8"/>
    <w:rsid w:val="0058352E"/>
    <w:rsid w:val="005852A2"/>
    <w:rsid w:val="00585B51"/>
    <w:rsid w:val="005874AA"/>
    <w:rsid w:val="005953E1"/>
    <w:rsid w:val="00595F00"/>
    <w:rsid w:val="005963FC"/>
    <w:rsid w:val="00596D42"/>
    <w:rsid w:val="005A1396"/>
    <w:rsid w:val="005A1DED"/>
    <w:rsid w:val="005A1E70"/>
    <w:rsid w:val="005A239A"/>
    <w:rsid w:val="005A4273"/>
    <w:rsid w:val="005A7188"/>
    <w:rsid w:val="005A734D"/>
    <w:rsid w:val="005B2156"/>
    <w:rsid w:val="005B2A26"/>
    <w:rsid w:val="005B2C78"/>
    <w:rsid w:val="005B31EC"/>
    <w:rsid w:val="005B34B7"/>
    <w:rsid w:val="005C50E7"/>
    <w:rsid w:val="005C6FE7"/>
    <w:rsid w:val="005D06E0"/>
    <w:rsid w:val="005D123A"/>
    <w:rsid w:val="005D6732"/>
    <w:rsid w:val="005E10CF"/>
    <w:rsid w:val="005E169C"/>
    <w:rsid w:val="005E280B"/>
    <w:rsid w:val="005E437A"/>
    <w:rsid w:val="005E5819"/>
    <w:rsid w:val="005E5BB4"/>
    <w:rsid w:val="005E5BF6"/>
    <w:rsid w:val="005E7090"/>
    <w:rsid w:val="005E7E9C"/>
    <w:rsid w:val="005F5889"/>
    <w:rsid w:val="0060027A"/>
    <w:rsid w:val="00603B7A"/>
    <w:rsid w:val="00604D08"/>
    <w:rsid w:val="0060772C"/>
    <w:rsid w:val="00610EC8"/>
    <w:rsid w:val="00612AA2"/>
    <w:rsid w:val="006136FA"/>
    <w:rsid w:val="00614D27"/>
    <w:rsid w:val="0061513B"/>
    <w:rsid w:val="00615897"/>
    <w:rsid w:val="00617626"/>
    <w:rsid w:val="00617F35"/>
    <w:rsid w:val="006201B7"/>
    <w:rsid w:val="00620671"/>
    <w:rsid w:val="006216C4"/>
    <w:rsid w:val="006225CF"/>
    <w:rsid w:val="006226E0"/>
    <w:rsid w:val="006233AB"/>
    <w:rsid w:val="00625E28"/>
    <w:rsid w:val="0062782B"/>
    <w:rsid w:val="00632748"/>
    <w:rsid w:val="00633F31"/>
    <w:rsid w:val="00636094"/>
    <w:rsid w:val="00641300"/>
    <w:rsid w:val="00641A7F"/>
    <w:rsid w:val="00644B87"/>
    <w:rsid w:val="006454EE"/>
    <w:rsid w:val="0065144C"/>
    <w:rsid w:val="006527D0"/>
    <w:rsid w:val="00654186"/>
    <w:rsid w:val="00654349"/>
    <w:rsid w:val="0065570F"/>
    <w:rsid w:val="0065632D"/>
    <w:rsid w:val="00656DB2"/>
    <w:rsid w:val="0066029F"/>
    <w:rsid w:val="00663741"/>
    <w:rsid w:val="00663941"/>
    <w:rsid w:val="0066437F"/>
    <w:rsid w:val="006700C2"/>
    <w:rsid w:val="00670D23"/>
    <w:rsid w:val="00670DFF"/>
    <w:rsid w:val="00674808"/>
    <w:rsid w:val="00674F2C"/>
    <w:rsid w:val="00676778"/>
    <w:rsid w:val="00680A63"/>
    <w:rsid w:val="00680E5E"/>
    <w:rsid w:val="006825BE"/>
    <w:rsid w:val="00682809"/>
    <w:rsid w:val="00682D0F"/>
    <w:rsid w:val="006873EF"/>
    <w:rsid w:val="0069010C"/>
    <w:rsid w:val="006910A6"/>
    <w:rsid w:val="00692C9E"/>
    <w:rsid w:val="00696DFD"/>
    <w:rsid w:val="006A5907"/>
    <w:rsid w:val="006A76FA"/>
    <w:rsid w:val="006B10C2"/>
    <w:rsid w:val="006B2635"/>
    <w:rsid w:val="006B34B0"/>
    <w:rsid w:val="006B42EE"/>
    <w:rsid w:val="006B6BEF"/>
    <w:rsid w:val="006B7D74"/>
    <w:rsid w:val="006C1543"/>
    <w:rsid w:val="006C1806"/>
    <w:rsid w:val="006C3627"/>
    <w:rsid w:val="006C5D65"/>
    <w:rsid w:val="006C72A2"/>
    <w:rsid w:val="006C779E"/>
    <w:rsid w:val="006D02F1"/>
    <w:rsid w:val="006D14CB"/>
    <w:rsid w:val="006D2E07"/>
    <w:rsid w:val="006D5FC9"/>
    <w:rsid w:val="006D6F05"/>
    <w:rsid w:val="006D77BF"/>
    <w:rsid w:val="006E2D2A"/>
    <w:rsid w:val="006E4374"/>
    <w:rsid w:val="006E4532"/>
    <w:rsid w:val="006E53E3"/>
    <w:rsid w:val="006E5E6C"/>
    <w:rsid w:val="006E6CEE"/>
    <w:rsid w:val="006F0FFE"/>
    <w:rsid w:val="006F12C0"/>
    <w:rsid w:val="006F266F"/>
    <w:rsid w:val="006F2A04"/>
    <w:rsid w:val="006F31AE"/>
    <w:rsid w:val="006F4081"/>
    <w:rsid w:val="007066E3"/>
    <w:rsid w:val="007075B3"/>
    <w:rsid w:val="0071295E"/>
    <w:rsid w:val="00714214"/>
    <w:rsid w:val="00715BA9"/>
    <w:rsid w:val="0072211A"/>
    <w:rsid w:val="00722D5C"/>
    <w:rsid w:val="00724F50"/>
    <w:rsid w:val="00727903"/>
    <w:rsid w:val="0073054E"/>
    <w:rsid w:val="00732909"/>
    <w:rsid w:val="007331D5"/>
    <w:rsid w:val="00734186"/>
    <w:rsid w:val="00734B5C"/>
    <w:rsid w:val="0073543E"/>
    <w:rsid w:val="00736A01"/>
    <w:rsid w:val="00740464"/>
    <w:rsid w:val="00741341"/>
    <w:rsid w:val="007422BB"/>
    <w:rsid w:val="00742C02"/>
    <w:rsid w:val="00747C8A"/>
    <w:rsid w:val="00750D1B"/>
    <w:rsid w:val="00751A18"/>
    <w:rsid w:val="00752563"/>
    <w:rsid w:val="007540F4"/>
    <w:rsid w:val="00755FD5"/>
    <w:rsid w:val="007611FA"/>
    <w:rsid w:val="007623B6"/>
    <w:rsid w:val="007628FF"/>
    <w:rsid w:val="00763DB8"/>
    <w:rsid w:val="007657B6"/>
    <w:rsid w:val="0078028A"/>
    <w:rsid w:val="00780615"/>
    <w:rsid w:val="007807C2"/>
    <w:rsid w:val="0078151E"/>
    <w:rsid w:val="00782F16"/>
    <w:rsid w:val="00783035"/>
    <w:rsid w:val="007844D0"/>
    <w:rsid w:val="00784C8C"/>
    <w:rsid w:val="007853AA"/>
    <w:rsid w:val="00786EE4"/>
    <w:rsid w:val="00793B05"/>
    <w:rsid w:val="00794462"/>
    <w:rsid w:val="007953BA"/>
    <w:rsid w:val="007A3607"/>
    <w:rsid w:val="007B0327"/>
    <w:rsid w:val="007B3CFE"/>
    <w:rsid w:val="007B532E"/>
    <w:rsid w:val="007B56C4"/>
    <w:rsid w:val="007C1392"/>
    <w:rsid w:val="007C5D75"/>
    <w:rsid w:val="007C77D9"/>
    <w:rsid w:val="007D107F"/>
    <w:rsid w:val="007D1177"/>
    <w:rsid w:val="007D1ADE"/>
    <w:rsid w:val="007D38A3"/>
    <w:rsid w:val="007D7C61"/>
    <w:rsid w:val="007E146E"/>
    <w:rsid w:val="007E55DD"/>
    <w:rsid w:val="007E7E9C"/>
    <w:rsid w:val="007F009D"/>
    <w:rsid w:val="007F12CA"/>
    <w:rsid w:val="007F2BFA"/>
    <w:rsid w:val="007F4187"/>
    <w:rsid w:val="00802101"/>
    <w:rsid w:val="00804D75"/>
    <w:rsid w:val="008059B1"/>
    <w:rsid w:val="00812A6C"/>
    <w:rsid w:val="0082242F"/>
    <w:rsid w:val="008240FE"/>
    <w:rsid w:val="008253CA"/>
    <w:rsid w:val="00830222"/>
    <w:rsid w:val="0083124E"/>
    <w:rsid w:val="00831CF9"/>
    <w:rsid w:val="00833F8D"/>
    <w:rsid w:val="0083489C"/>
    <w:rsid w:val="00834C29"/>
    <w:rsid w:val="00836232"/>
    <w:rsid w:val="00842705"/>
    <w:rsid w:val="00844394"/>
    <w:rsid w:val="00844568"/>
    <w:rsid w:val="0084587D"/>
    <w:rsid w:val="00847397"/>
    <w:rsid w:val="00847E57"/>
    <w:rsid w:val="008509F0"/>
    <w:rsid w:val="008517AB"/>
    <w:rsid w:val="00851A17"/>
    <w:rsid w:val="00852BC1"/>
    <w:rsid w:val="008534B8"/>
    <w:rsid w:val="0085390C"/>
    <w:rsid w:val="008548A7"/>
    <w:rsid w:val="00855720"/>
    <w:rsid w:val="00856C1B"/>
    <w:rsid w:val="00860D26"/>
    <w:rsid w:val="00862523"/>
    <w:rsid w:val="00865353"/>
    <w:rsid w:val="00867C21"/>
    <w:rsid w:val="00874DBE"/>
    <w:rsid w:val="00884756"/>
    <w:rsid w:val="00890034"/>
    <w:rsid w:val="00890F59"/>
    <w:rsid w:val="008915D5"/>
    <w:rsid w:val="00892B3F"/>
    <w:rsid w:val="00894460"/>
    <w:rsid w:val="008953E4"/>
    <w:rsid w:val="008A3B2E"/>
    <w:rsid w:val="008A55E2"/>
    <w:rsid w:val="008B33A8"/>
    <w:rsid w:val="008B3F95"/>
    <w:rsid w:val="008B5EDF"/>
    <w:rsid w:val="008C17F6"/>
    <w:rsid w:val="008C26D5"/>
    <w:rsid w:val="008D07EC"/>
    <w:rsid w:val="008D136C"/>
    <w:rsid w:val="008D2B7D"/>
    <w:rsid w:val="008D548B"/>
    <w:rsid w:val="008E283E"/>
    <w:rsid w:val="008E46DA"/>
    <w:rsid w:val="008E4744"/>
    <w:rsid w:val="008E5DBB"/>
    <w:rsid w:val="008E5DE3"/>
    <w:rsid w:val="008E65D8"/>
    <w:rsid w:val="008E6F1D"/>
    <w:rsid w:val="008F1682"/>
    <w:rsid w:val="008F2217"/>
    <w:rsid w:val="008F2DE6"/>
    <w:rsid w:val="008F3C20"/>
    <w:rsid w:val="008F7809"/>
    <w:rsid w:val="00900D1F"/>
    <w:rsid w:val="00901452"/>
    <w:rsid w:val="009017A4"/>
    <w:rsid w:val="0090185C"/>
    <w:rsid w:val="00902789"/>
    <w:rsid w:val="009055D7"/>
    <w:rsid w:val="00905E85"/>
    <w:rsid w:val="00910575"/>
    <w:rsid w:val="00911DF9"/>
    <w:rsid w:val="00912C59"/>
    <w:rsid w:val="00912D2D"/>
    <w:rsid w:val="00914647"/>
    <w:rsid w:val="00914D23"/>
    <w:rsid w:val="00916285"/>
    <w:rsid w:val="00916CED"/>
    <w:rsid w:val="00920109"/>
    <w:rsid w:val="00920CBB"/>
    <w:rsid w:val="009213CE"/>
    <w:rsid w:val="00921DA9"/>
    <w:rsid w:val="00925446"/>
    <w:rsid w:val="00925613"/>
    <w:rsid w:val="0093199D"/>
    <w:rsid w:val="0094320F"/>
    <w:rsid w:val="009453A3"/>
    <w:rsid w:val="009464C2"/>
    <w:rsid w:val="00946D39"/>
    <w:rsid w:val="009501D4"/>
    <w:rsid w:val="00952EEA"/>
    <w:rsid w:val="0095744C"/>
    <w:rsid w:val="009612CD"/>
    <w:rsid w:val="00963361"/>
    <w:rsid w:val="0096586B"/>
    <w:rsid w:val="00971463"/>
    <w:rsid w:val="00971534"/>
    <w:rsid w:val="009733BD"/>
    <w:rsid w:val="00980D12"/>
    <w:rsid w:val="00983A18"/>
    <w:rsid w:val="00984FD9"/>
    <w:rsid w:val="009855AC"/>
    <w:rsid w:val="009869EA"/>
    <w:rsid w:val="009933E4"/>
    <w:rsid w:val="00993F5E"/>
    <w:rsid w:val="00994C49"/>
    <w:rsid w:val="0099769F"/>
    <w:rsid w:val="009A2618"/>
    <w:rsid w:val="009A4910"/>
    <w:rsid w:val="009A56C2"/>
    <w:rsid w:val="009A5AEE"/>
    <w:rsid w:val="009B655A"/>
    <w:rsid w:val="009B7121"/>
    <w:rsid w:val="009C0CF4"/>
    <w:rsid w:val="009C1799"/>
    <w:rsid w:val="009C17B1"/>
    <w:rsid w:val="009C273D"/>
    <w:rsid w:val="009C2D06"/>
    <w:rsid w:val="009C445B"/>
    <w:rsid w:val="009C539D"/>
    <w:rsid w:val="009C543A"/>
    <w:rsid w:val="009C5FE8"/>
    <w:rsid w:val="009C6538"/>
    <w:rsid w:val="009C7812"/>
    <w:rsid w:val="009D090E"/>
    <w:rsid w:val="009D0C24"/>
    <w:rsid w:val="009D642F"/>
    <w:rsid w:val="009D78A5"/>
    <w:rsid w:val="009D78E8"/>
    <w:rsid w:val="009E06BE"/>
    <w:rsid w:val="009E1CF1"/>
    <w:rsid w:val="009E65CC"/>
    <w:rsid w:val="009E79C8"/>
    <w:rsid w:val="009E7C91"/>
    <w:rsid w:val="009F108C"/>
    <w:rsid w:val="009F171E"/>
    <w:rsid w:val="009F2011"/>
    <w:rsid w:val="009F72F7"/>
    <w:rsid w:val="00A0287E"/>
    <w:rsid w:val="00A02E97"/>
    <w:rsid w:val="00A036B2"/>
    <w:rsid w:val="00A03AE2"/>
    <w:rsid w:val="00A06AE1"/>
    <w:rsid w:val="00A11316"/>
    <w:rsid w:val="00A117F4"/>
    <w:rsid w:val="00A13CB4"/>
    <w:rsid w:val="00A21DFA"/>
    <w:rsid w:val="00A21E46"/>
    <w:rsid w:val="00A233ED"/>
    <w:rsid w:val="00A23E2A"/>
    <w:rsid w:val="00A24BBD"/>
    <w:rsid w:val="00A253C7"/>
    <w:rsid w:val="00A26EBA"/>
    <w:rsid w:val="00A27B84"/>
    <w:rsid w:val="00A302B6"/>
    <w:rsid w:val="00A30B2B"/>
    <w:rsid w:val="00A30E0E"/>
    <w:rsid w:val="00A35E2F"/>
    <w:rsid w:val="00A40FFA"/>
    <w:rsid w:val="00A41D36"/>
    <w:rsid w:val="00A430B9"/>
    <w:rsid w:val="00A44E60"/>
    <w:rsid w:val="00A51493"/>
    <w:rsid w:val="00A56BF8"/>
    <w:rsid w:val="00A65025"/>
    <w:rsid w:val="00A70802"/>
    <w:rsid w:val="00A7089A"/>
    <w:rsid w:val="00A70F58"/>
    <w:rsid w:val="00A8016A"/>
    <w:rsid w:val="00A812F1"/>
    <w:rsid w:val="00A83FDE"/>
    <w:rsid w:val="00A85A3E"/>
    <w:rsid w:val="00A9060E"/>
    <w:rsid w:val="00A90AC1"/>
    <w:rsid w:val="00A914B5"/>
    <w:rsid w:val="00A91BB7"/>
    <w:rsid w:val="00A946D8"/>
    <w:rsid w:val="00A95327"/>
    <w:rsid w:val="00A961F5"/>
    <w:rsid w:val="00A965F2"/>
    <w:rsid w:val="00A96AAE"/>
    <w:rsid w:val="00A96E5B"/>
    <w:rsid w:val="00AA08B3"/>
    <w:rsid w:val="00AA1263"/>
    <w:rsid w:val="00AA2EEA"/>
    <w:rsid w:val="00AA4BD9"/>
    <w:rsid w:val="00AA748C"/>
    <w:rsid w:val="00AB23CE"/>
    <w:rsid w:val="00AB3B3A"/>
    <w:rsid w:val="00AB57A5"/>
    <w:rsid w:val="00AB65F8"/>
    <w:rsid w:val="00AC0D0A"/>
    <w:rsid w:val="00AC1C19"/>
    <w:rsid w:val="00AC236E"/>
    <w:rsid w:val="00AC4207"/>
    <w:rsid w:val="00AC48B6"/>
    <w:rsid w:val="00AC50EA"/>
    <w:rsid w:val="00AC7C47"/>
    <w:rsid w:val="00AD0ADC"/>
    <w:rsid w:val="00AD61B5"/>
    <w:rsid w:val="00AE09F7"/>
    <w:rsid w:val="00AE3180"/>
    <w:rsid w:val="00AE776E"/>
    <w:rsid w:val="00AF196D"/>
    <w:rsid w:val="00AF21CA"/>
    <w:rsid w:val="00AF247F"/>
    <w:rsid w:val="00AF2A20"/>
    <w:rsid w:val="00AF6C0F"/>
    <w:rsid w:val="00AF7448"/>
    <w:rsid w:val="00B04480"/>
    <w:rsid w:val="00B076F3"/>
    <w:rsid w:val="00B115F0"/>
    <w:rsid w:val="00B13D85"/>
    <w:rsid w:val="00B141EE"/>
    <w:rsid w:val="00B166AD"/>
    <w:rsid w:val="00B17111"/>
    <w:rsid w:val="00B20BF3"/>
    <w:rsid w:val="00B271A4"/>
    <w:rsid w:val="00B272D1"/>
    <w:rsid w:val="00B307D8"/>
    <w:rsid w:val="00B348A3"/>
    <w:rsid w:val="00B37307"/>
    <w:rsid w:val="00B37BCD"/>
    <w:rsid w:val="00B42211"/>
    <w:rsid w:val="00B44052"/>
    <w:rsid w:val="00B57C3F"/>
    <w:rsid w:val="00B6371A"/>
    <w:rsid w:val="00B6395E"/>
    <w:rsid w:val="00B65399"/>
    <w:rsid w:val="00B65DB8"/>
    <w:rsid w:val="00B67877"/>
    <w:rsid w:val="00B70853"/>
    <w:rsid w:val="00B70CCC"/>
    <w:rsid w:val="00B71F50"/>
    <w:rsid w:val="00B76158"/>
    <w:rsid w:val="00B81368"/>
    <w:rsid w:val="00B81FC5"/>
    <w:rsid w:val="00B84C14"/>
    <w:rsid w:val="00B85464"/>
    <w:rsid w:val="00B86004"/>
    <w:rsid w:val="00BA15BB"/>
    <w:rsid w:val="00BA2818"/>
    <w:rsid w:val="00BB08B2"/>
    <w:rsid w:val="00BB15A2"/>
    <w:rsid w:val="00BB585C"/>
    <w:rsid w:val="00BB7393"/>
    <w:rsid w:val="00BB7B59"/>
    <w:rsid w:val="00BB7F7F"/>
    <w:rsid w:val="00BC05BA"/>
    <w:rsid w:val="00BC26DD"/>
    <w:rsid w:val="00BC3A1A"/>
    <w:rsid w:val="00BC5D85"/>
    <w:rsid w:val="00BC6937"/>
    <w:rsid w:val="00BD0839"/>
    <w:rsid w:val="00BD2A52"/>
    <w:rsid w:val="00BD36ED"/>
    <w:rsid w:val="00BD6D41"/>
    <w:rsid w:val="00BD7740"/>
    <w:rsid w:val="00BD7BE5"/>
    <w:rsid w:val="00BE030E"/>
    <w:rsid w:val="00BE1DF2"/>
    <w:rsid w:val="00BE7523"/>
    <w:rsid w:val="00BF1095"/>
    <w:rsid w:val="00BF10CE"/>
    <w:rsid w:val="00BF1ACF"/>
    <w:rsid w:val="00BF2364"/>
    <w:rsid w:val="00BF2AD4"/>
    <w:rsid w:val="00BF68B1"/>
    <w:rsid w:val="00BF7A0C"/>
    <w:rsid w:val="00BF7BE7"/>
    <w:rsid w:val="00C01B40"/>
    <w:rsid w:val="00C04D86"/>
    <w:rsid w:val="00C06958"/>
    <w:rsid w:val="00C07778"/>
    <w:rsid w:val="00C1113F"/>
    <w:rsid w:val="00C116DA"/>
    <w:rsid w:val="00C11872"/>
    <w:rsid w:val="00C11BC7"/>
    <w:rsid w:val="00C12210"/>
    <w:rsid w:val="00C12392"/>
    <w:rsid w:val="00C1423A"/>
    <w:rsid w:val="00C14297"/>
    <w:rsid w:val="00C1515A"/>
    <w:rsid w:val="00C159FE"/>
    <w:rsid w:val="00C15CCE"/>
    <w:rsid w:val="00C17977"/>
    <w:rsid w:val="00C22714"/>
    <w:rsid w:val="00C233D0"/>
    <w:rsid w:val="00C25AD4"/>
    <w:rsid w:val="00C26876"/>
    <w:rsid w:val="00C305FE"/>
    <w:rsid w:val="00C33F6D"/>
    <w:rsid w:val="00C35372"/>
    <w:rsid w:val="00C373C9"/>
    <w:rsid w:val="00C373F0"/>
    <w:rsid w:val="00C40E12"/>
    <w:rsid w:val="00C41E89"/>
    <w:rsid w:val="00C44A65"/>
    <w:rsid w:val="00C47D24"/>
    <w:rsid w:val="00C501BF"/>
    <w:rsid w:val="00C50587"/>
    <w:rsid w:val="00C542FA"/>
    <w:rsid w:val="00C55510"/>
    <w:rsid w:val="00C55CB4"/>
    <w:rsid w:val="00C55E9A"/>
    <w:rsid w:val="00C61EDB"/>
    <w:rsid w:val="00C6271B"/>
    <w:rsid w:val="00C66201"/>
    <w:rsid w:val="00C72ADB"/>
    <w:rsid w:val="00C73B5F"/>
    <w:rsid w:val="00C75FE6"/>
    <w:rsid w:val="00C7642A"/>
    <w:rsid w:val="00C8008B"/>
    <w:rsid w:val="00C80D30"/>
    <w:rsid w:val="00C81D81"/>
    <w:rsid w:val="00C855CA"/>
    <w:rsid w:val="00C94A20"/>
    <w:rsid w:val="00C95FBE"/>
    <w:rsid w:val="00C97DA2"/>
    <w:rsid w:val="00CA095A"/>
    <w:rsid w:val="00CA3C25"/>
    <w:rsid w:val="00CA6523"/>
    <w:rsid w:val="00CA6977"/>
    <w:rsid w:val="00CA736E"/>
    <w:rsid w:val="00CB0D2B"/>
    <w:rsid w:val="00CB1FED"/>
    <w:rsid w:val="00CB2225"/>
    <w:rsid w:val="00CB2815"/>
    <w:rsid w:val="00CB467C"/>
    <w:rsid w:val="00CB51D3"/>
    <w:rsid w:val="00CB7919"/>
    <w:rsid w:val="00CB7BB6"/>
    <w:rsid w:val="00CC561E"/>
    <w:rsid w:val="00CC75B1"/>
    <w:rsid w:val="00CD40A1"/>
    <w:rsid w:val="00CD5FB3"/>
    <w:rsid w:val="00CD62E1"/>
    <w:rsid w:val="00CD69F0"/>
    <w:rsid w:val="00CD6C9E"/>
    <w:rsid w:val="00CE00C3"/>
    <w:rsid w:val="00CE321D"/>
    <w:rsid w:val="00CE3D2F"/>
    <w:rsid w:val="00CE3F3A"/>
    <w:rsid w:val="00CE7760"/>
    <w:rsid w:val="00CF01AB"/>
    <w:rsid w:val="00CF1C16"/>
    <w:rsid w:val="00CF2CE9"/>
    <w:rsid w:val="00CF6E12"/>
    <w:rsid w:val="00D01C06"/>
    <w:rsid w:val="00D0402F"/>
    <w:rsid w:val="00D046E1"/>
    <w:rsid w:val="00D04B1F"/>
    <w:rsid w:val="00D06864"/>
    <w:rsid w:val="00D077C7"/>
    <w:rsid w:val="00D11E67"/>
    <w:rsid w:val="00D11F42"/>
    <w:rsid w:val="00D1338E"/>
    <w:rsid w:val="00D1458C"/>
    <w:rsid w:val="00D16A13"/>
    <w:rsid w:val="00D17B23"/>
    <w:rsid w:val="00D17F94"/>
    <w:rsid w:val="00D20EF7"/>
    <w:rsid w:val="00D21C5C"/>
    <w:rsid w:val="00D227CC"/>
    <w:rsid w:val="00D25F65"/>
    <w:rsid w:val="00D34925"/>
    <w:rsid w:val="00D37329"/>
    <w:rsid w:val="00D37C4F"/>
    <w:rsid w:val="00D41C39"/>
    <w:rsid w:val="00D45F78"/>
    <w:rsid w:val="00D51084"/>
    <w:rsid w:val="00D56046"/>
    <w:rsid w:val="00D567AF"/>
    <w:rsid w:val="00D621AB"/>
    <w:rsid w:val="00D658A4"/>
    <w:rsid w:val="00D6621C"/>
    <w:rsid w:val="00D7127A"/>
    <w:rsid w:val="00D71CA8"/>
    <w:rsid w:val="00D72331"/>
    <w:rsid w:val="00D72AC4"/>
    <w:rsid w:val="00D73026"/>
    <w:rsid w:val="00D73BFC"/>
    <w:rsid w:val="00D80517"/>
    <w:rsid w:val="00D81A0B"/>
    <w:rsid w:val="00D81E71"/>
    <w:rsid w:val="00D83742"/>
    <w:rsid w:val="00D83FC7"/>
    <w:rsid w:val="00D8625F"/>
    <w:rsid w:val="00D8720E"/>
    <w:rsid w:val="00D907BD"/>
    <w:rsid w:val="00D92A49"/>
    <w:rsid w:val="00D9381E"/>
    <w:rsid w:val="00D93C84"/>
    <w:rsid w:val="00D957A9"/>
    <w:rsid w:val="00DA2D63"/>
    <w:rsid w:val="00DA2E98"/>
    <w:rsid w:val="00DA2FB5"/>
    <w:rsid w:val="00DA7352"/>
    <w:rsid w:val="00DB3C53"/>
    <w:rsid w:val="00DB4517"/>
    <w:rsid w:val="00DC2A28"/>
    <w:rsid w:val="00DD054B"/>
    <w:rsid w:val="00DD087F"/>
    <w:rsid w:val="00DD13F6"/>
    <w:rsid w:val="00DD538F"/>
    <w:rsid w:val="00DD62BD"/>
    <w:rsid w:val="00DD69EC"/>
    <w:rsid w:val="00DE05B6"/>
    <w:rsid w:val="00DE32DE"/>
    <w:rsid w:val="00DE433E"/>
    <w:rsid w:val="00DE78CE"/>
    <w:rsid w:val="00DF1167"/>
    <w:rsid w:val="00DF3E87"/>
    <w:rsid w:val="00DF4374"/>
    <w:rsid w:val="00DF5A01"/>
    <w:rsid w:val="00E00F4F"/>
    <w:rsid w:val="00E017E8"/>
    <w:rsid w:val="00E02F74"/>
    <w:rsid w:val="00E034FD"/>
    <w:rsid w:val="00E10113"/>
    <w:rsid w:val="00E110F6"/>
    <w:rsid w:val="00E15901"/>
    <w:rsid w:val="00E16386"/>
    <w:rsid w:val="00E20256"/>
    <w:rsid w:val="00E23A37"/>
    <w:rsid w:val="00E24324"/>
    <w:rsid w:val="00E262E5"/>
    <w:rsid w:val="00E27DC4"/>
    <w:rsid w:val="00E309EE"/>
    <w:rsid w:val="00E3170E"/>
    <w:rsid w:val="00E32031"/>
    <w:rsid w:val="00E321E0"/>
    <w:rsid w:val="00E3536A"/>
    <w:rsid w:val="00E4065C"/>
    <w:rsid w:val="00E40B61"/>
    <w:rsid w:val="00E42E2A"/>
    <w:rsid w:val="00E4327E"/>
    <w:rsid w:val="00E4375C"/>
    <w:rsid w:val="00E438CB"/>
    <w:rsid w:val="00E442D7"/>
    <w:rsid w:val="00E45215"/>
    <w:rsid w:val="00E46356"/>
    <w:rsid w:val="00E463FB"/>
    <w:rsid w:val="00E53D01"/>
    <w:rsid w:val="00E53E00"/>
    <w:rsid w:val="00E5435E"/>
    <w:rsid w:val="00E55AD2"/>
    <w:rsid w:val="00E61075"/>
    <w:rsid w:val="00E61968"/>
    <w:rsid w:val="00E64C74"/>
    <w:rsid w:val="00E660C2"/>
    <w:rsid w:val="00E66FAF"/>
    <w:rsid w:val="00E72C15"/>
    <w:rsid w:val="00E74075"/>
    <w:rsid w:val="00E75769"/>
    <w:rsid w:val="00E75880"/>
    <w:rsid w:val="00E75D81"/>
    <w:rsid w:val="00E75E75"/>
    <w:rsid w:val="00E8059C"/>
    <w:rsid w:val="00E80FE7"/>
    <w:rsid w:val="00E80FF1"/>
    <w:rsid w:val="00E8141B"/>
    <w:rsid w:val="00E82CD2"/>
    <w:rsid w:val="00E83F68"/>
    <w:rsid w:val="00E87412"/>
    <w:rsid w:val="00E9083E"/>
    <w:rsid w:val="00E95BFC"/>
    <w:rsid w:val="00E9746B"/>
    <w:rsid w:val="00EA0009"/>
    <w:rsid w:val="00EA21F0"/>
    <w:rsid w:val="00EA318A"/>
    <w:rsid w:val="00EA3F17"/>
    <w:rsid w:val="00EA5B80"/>
    <w:rsid w:val="00EA72D6"/>
    <w:rsid w:val="00EB1DAD"/>
    <w:rsid w:val="00EB4F6D"/>
    <w:rsid w:val="00EB5A39"/>
    <w:rsid w:val="00EB6B12"/>
    <w:rsid w:val="00EC00A0"/>
    <w:rsid w:val="00EC13DD"/>
    <w:rsid w:val="00EC1843"/>
    <w:rsid w:val="00EC3518"/>
    <w:rsid w:val="00EC5966"/>
    <w:rsid w:val="00ED04FF"/>
    <w:rsid w:val="00ED06BE"/>
    <w:rsid w:val="00ED0CB3"/>
    <w:rsid w:val="00ED36EF"/>
    <w:rsid w:val="00ED5FBE"/>
    <w:rsid w:val="00ED7966"/>
    <w:rsid w:val="00EE0504"/>
    <w:rsid w:val="00EE155A"/>
    <w:rsid w:val="00EE5227"/>
    <w:rsid w:val="00EE761B"/>
    <w:rsid w:val="00EE7EB7"/>
    <w:rsid w:val="00EF371D"/>
    <w:rsid w:val="00EF393B"/>
    <w:rsid w:val="00EF57B1"/>
    <w:rsid w:val="00EF5D88"/>
    <w:rsid w:val="00EF6550"/>
    <w:rsid w:val="00F0225F"/>
    <w:rsid w:val="00F02915"/>
    <w:rsid w:val="00F03C65"/>
    <w:rsid w:val="00F142A0"/>
    <w:rsid w:val="00F15E16"/>
    <w:rsid w:val="00F20E7C"/>
    <w:rsid w:val="00F232DD"/>
    <w:rsid w:val="00F23C6E"/>
    <w:rsid w:val="00F24012"/>
    <w:rsid w:val="00F248C4"/>
    <w:rsid w:val="00F25D46"/>
    <w:rsid w:val="00F27C82"/>
    <w:rsid w:val="00F33B73"/>
    <w:rsid w:val="00F42C74"/>
    <w:rsid w:val="00F447C2"/>
    <w:rsid w:val="00F600D3"/>
    <w:rsid w:val="00F60E92"/>
    <w:rsid w:val="00F6238C"/>
    <w:rsid w:val="00F654CD"/>
    <w:rsid w:val="00F67385"/>
    <w:rsid w:val="00F677F9"/>
    <w:rsid w:val="00F67DAC"/>
    <w:rsid w:val="00F700D7"/>
    <w:rsid w:val="00F71417"/>
    <w:rsid w:val="00F720F4"/>
    <w:rsid w:val="00F72231"/>
    <w:rsid w:val="00F7303B"/>
    <w:rsid w:val="00F748C5"/>
    <w:rsid w:val="00F77989"/>
    <w:rsid w:val="00F80208"/>
    <w:rsid w:val="00F8078B"/>
    <w:rsid w:val="00F8202B"/>
    <w:rsid w:val="00F831E1"/>
    <w:rsid w:val="00F9221A"/>
    <w:rsid w:val="00F92F02"/>
    <w:rsid w:val="00F94599"/>
    <w:rsid w:val="00F9498B"/>
    <w:rsid w:val="00F9596A"/>
    <w:rsid w:val="00F9749F"/>
    <w:rsid w:val="00FA0621"/>
    <w:rsid w:val="00FA0BC2"/>
    <w:rsid w:val="00FA3760"/>
    <w:rsid w:val="00FA6083"/>
    <w:rsid w:val="00FA6FA9"/>
    <w:rsid w:val="00FA7D8A"/>
    <w:rsid w:val="00FB2016"/>
    <w:rsid w:val="00FB477A"/>
    <w:rsid w:val="00FC1A49"/>
    <w:rsid w:val="00FC2E09"/>
    <w:rsid w:val="00FC3408"/>
    <w:rsid w:val="00FC34EB"/>
    <w:rsid w:val="00FC359C"/>
    <w:rsid w:val="00FC4FAE"/>
    <w:rsid w:val="00FC516B"/>
    <w:rsid w:val="00FC7616"/>
    <w:rsid w:val="00FD2722"/>
    <w:rsid w:val="00FD4CD5"/>
    <w:rsid w:val="00FD5628"/>
    <w:rsid w:val="00FD5BCE"/>
    <w:rsid w:val="00FE0126"/>
    <w:rsid w:val="00FE6EC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15"/>
  </w:style>
  <w:style w:type="paragraph" w:styleId="1">
    <w:name w:val="heading 1"/>
    <w:basedOn w:val="a"/>
    <w:link w:val="10"/>
    <w:uiPriority w:val="9"/>
    <w:qFormat/>
    <w:rsid w:val="00EC5966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96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966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96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C59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966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C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59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EC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C596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C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C596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EC5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EC59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C59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EC5966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EC5966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EC5966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EC5966"/>
  </w:style>
  <w:style w:type="paragraph" w:styleId="21">
    <w:name w:val="Body Text Indent 2"/>
    <w:basedOn w:val="a"/>
    <w:link w:val="22"/>
    <w:uiPriority w:val="99"/>
    <w:semiHidden/>
    <w:unhideWhenUsed/>
    <w:rsid w:val="00EC59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596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59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5966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C596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EC596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EC596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EC596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EC5966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 Знак Знак Знак Знак"/>
    <w:basedOn w:val="a"/>
    <w:rsid w:val="00EC5966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EC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C59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EC59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EC59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EC5966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EC5966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EC59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EC59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C59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EC596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papdefault">
    <w:name w:val="msopapdefault"/>
    <w:basedOn w:val="a"/>
    <w:rsid w:val="00EC5966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EC5966"/>
    <w:rPr>
      <w:vertAlign w:val="superscript"/>
    </w:rPr>
  </w:style>
  <w:style w:type="paragraph" w:styleId="23">
    <w:name w:val="Body Text 2"/>
    <w:basedOn w:val="a"/>
    <w:link w:val="24"/>
    <w:uiPriority w:val="99"/>
    <w:unhideWhenUsed/>
    <w:rsid w:val="00B678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67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83959F7F133B0CBCC7141204F368A560411378A1931CE6A18C5F6A797B965D74A478EEF192B5d4Z6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984C-DE89-46B2-9DF4-3836F193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6225</TotalTime>
  <Pages>18</Pages>
  <Words>7767</Words>
  <Characters>44273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1305</cp:revision>
  <cp:lastPrinted>2021-01-13T14:08:00Z</cp:lastPrinted>
  <dcterms:created xsi:type="dcterms:W3CDTF">2018-04-16T10:01:00Z</dcterms:created>
  <dcterms:modified xsi:type="dcterms:W3CDTF">2024-12-18T07:46:00Z</dcterms:modified>
</cp:coreProperties>
</file>