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AB1365" w:rsidRPr="00AB13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40,оф.46  Тел. (48330) 2-11-45, 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AB13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AB1365" w:rsidRPr="00AB1365" w:rsidRDefault="00AB1365" w:rsidP="00AB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 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Контрольно-счетной палаты Суражского муниципального района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проект решения «О бюджете </w:t>
      </w:r>
      <w:proofErr w:type="spellStart"/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Лопазненско</w:t>
      </w:r>
      <w:r w:rsidR="001525B0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proofErr w:type="spellEnd"/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1525B0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1525B0">
        <w:rPr>
          <w:rFonts w:ascii="Times New Roman" w:eastAsia="Times New Roman" w:hAnsi="Times New Roman" w:cs="Times New Roman"/>
          <w:b/>
          <w:bCs/>
          <w:sz w:val="24"/>
          <w:szCs w:val="24"/>
        </w:rPr>
        <w:t>я Суражского муниципального района Брянской области</w:t>
      </w:r>
      <w:r w:rsidR="006A165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4615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B1365" w:rsidRPr="00FC6530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365" w:rsidRPr="00A13315" w:rsidRDefault="00AB1365" w:rsidP="00AB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15">
        <w:rPr>
          <w:rFonts w:ascii="Times New Roman" w:eastAsia="Times New Roman" w:hAnsi="Times New Roman" w:cs="Times New Roman"/>
          <w:b/>
          <w:bCs/>
          <w:sz w:val="24"/>
          <w:szCs w:val="24"/>
        </w:rPr>
        <w:t>г. Сураж                                                                         </w:t>
      </w:r>
      <w:r w:rsidR="00FC6530" w:rsidRPr="00A13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A1331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</w:t>
      </w:r>
      <w:r w:rsidR="003E3ABF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A13315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3E3AB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133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2791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1461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C70B5" w:rsidRPr="00A13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A1331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AB1365" w:rsidRPr="00FC6530" w:rsidRDefault="00AB1365" w:rsidP="00AB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365" w:rsidRPr="00734EA0" w:rsidRDefault="00AB1365" w:rsidP="00AB1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5B2520" w:rsidRPr="00E767DC" w:rsidRDefault="00FA5C97" w:rsidP="005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5B2520" w:rsidRPr="007F45CC">
        <w:rPr>
          <w:rFonts w:ascii="Times New Roman" w:eastAsia="Times New Roman" w:hAnsi="Times New Roman" w:cs="Times New Roman"/>
          <w:sz w:val="24"/>
          <w:szCs w:val="24"/>
        </w:rPr>
        <w:t xml:space="preserve">Заключение Контрольно-счетной палаты Суражского муниципального района на проект решения «О бюджете </w:t>
      </w:r>
      <w:proofErr w:type="spellStart"/>
      <w:r w:rsidR="00A1473C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="005B2520" w:rsidRPr="007F45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51461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="005B2520" w:rsidRPr="007F45CC">
        <w:rPr>
          <w:rFonts w:ascii="Times New Roman" w:eastAsia="Times New Roman" w:hAnsi="Times New Roman" w:cs="Times New Roman"/>
          <w:sz w:val="24"/>
          <w:szCs w:val="24"/>
        </w:rPr>
        <w:t>»  подготовлено в соответствии с Бюджетным Кодексом Российской Федерации, Положением «О Контрольно-счетной палате Суражского муниципального района», иными актами законодательства Российской Федерации и органов местного самоуправления Суражского района, пунктом 1.1.2 плана работы</w:t>
      </w:r>
      <w:proofErr w:type="gramEnd"/>
      <w:r w:rsidR="005B2520" w:rsidRPr="007F45CC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палаты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146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2520" w:rsidRPr="007F45CC">
        <w:rPr>
          <w:rFonts w:ascii="Times New Roman" w:eastAsia="Times New Roman" w:hAnsi="Times New Roman" w:cs="Times New Roman"/>
          <w:sz w:val="24"/>
          <w:szCs w:val="24"/>
        </w:rPr>
        <w:t xml:space="preserve"> год, приказа № </w:t>
      </w:r>
      <w:r w:rsidR="00CE303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5B2520" w:rsidRPr="007F45C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B13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2520" w:rsidRPr="007F45CC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E30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2520" w:rsidRPr="007F45C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B1365" w:rsidRPr="00734EA0" w:rsidRDefault="00AB1365" w:rsidP="005B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Целью проведения экспертизы проекта бюджета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AB1365" w:rsidRPr="00734EA0" w:rsidRDefault="00AB1365" w:rsidP="00AB1365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Параметры прогноза </w:t>
      </w:r>
      <w:proofErr w:type="gramStart"/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исходных</w:t>
      </w:r>
      <w:proofErr w:type="gramEnd"/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макроэкономических</w:t>
      </w:r>
    </w:p>
    <w:p w:rsidR="00AB1365" w:rsidRPr="00734EA0" w:rsidRDefault="00AB1365" w:rsidP="00AB1365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показателей для составления проекта бюджета</w:t>
      </w:r>
    </w:p>
    <w:p w:rsidR="005057B3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</w:t>
      </w:r>
      <w:r w:rsidR="00A058DE">
        <w:rPr>
          <w:rFonts w:ascii="Times New Roman" w:eastAsia="Times New Roman" w:hAnsi="Times New Roman" w:cs="Times New Roman"/>
          <w:sz w:val="24"/>
          <w:szCs w:val="24"/>
        </w:rPr>
        <w:t>период 2025 - 2027 годы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, что соответствует установленному периоду в части 1 статьи 173 Бюджетного кодекса Российской Федерации.  Прогноз социально-экономического развития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058DE">
        <w:rPr>
          <w:rFonts w:ascii="Times New Roman" w:eastAsia="Times New Roman" w:hAnsi="Times New Roman" w:cs="Times New Roman"/>
          <w:sz w:val="24"/>
          <w:szCs w:val="24"/>
        </w:rPr>
        <w:t xml:space="preserve">на 2025 - 2027 годы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(далее -  Прогноз) разработан в </w:t>
      </w:r>
      <w:hyperlink r:id="rId10" w:history="1">
        <w:r w:rsidRPr="00734EA0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установленном постановлением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Лопазненской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  Суражского района от 18.07.2016 г. №29а 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Лопазненское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</w:t>
      </w:r>
      <w:r w:rsidR="005057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7B3" w:rsidRDefault="000650CA" w:rsidP="005057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7B3" w:rsidRPr="007F2521">
        <w:rPr>
          <w:rFonts w:ascii="Times New Roman" w:hAnsi="Times New Roman"/>
          <w:sz w:val="24"/>
          <w:szCs w:val="24"/>
        </w:rPr>
        <w:t xml:space="preserve">В </w:t>
      </w:r>
      <w:r w:rsidR="006F27BE" w:rsidRPr="007F2521">
        <w:rPr>
          <w:rFonts w:ascii="Times New Roman" w:hAnsi="Times New Roman"/>
          <w:sz w:val="24"/>
          <w:szCs w:val="24"/>
        </w:rPr>
        <w:t>соответствии с</w:t>
      </w:r>
      <w:r w:rsidR="005057B3" w:rsidRPr="007F2521">
        <w:rPr>
          <w:rFonts w:ascii="Times New Roman" w:hAnsi="Times New Roman"/>
          <w:sz w:val="24"/>
          <w:szCs w:val="24"/>
        </w:rPr>
        <w:t xml:space="preserve"> п.3 ст. 173 Бюджетного кодекса Российской Федерации прогноз социально-экономического развития </w:t>
      </w:r>
      <w:proofErr w:type="spellStart"/>
      <w:r w:rsidR="005057B3" w:rsidRPr="007F2521">
        <w:rPr>
          <w:rFonts w:ascii="Times New Roman" w:hAnsi="Times New Roman"/>
          <w:sz w:val="24"/>
          <w:szCs w:val="24"/>
        </w:rPr>
        <w:t>Лопазненского</w:t>
      </w:r>
      <w:proofErr w:type="spellEnd"/>
      <w:r w:rsidR="005057B3" w:rsidRPr="007F252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F27BE" w:rsidRPr="007F2521">
        <w:rPr>
          <w:rFonts w:ascii="Times New Roman" w:hAnsi="Times New Roman"/>
          <w:sz w:val="24"/>
          <w:szCs w:val="24"/>
        </w:rPr>
        <w:t xml:space="preserve"> утвержден постановлением </w:t>
      </w:r>
      <w:proofErr w:type="spellStart"/>
      <w:r w:rsidR="007F2521" w:rsidRPr="007F2521">
        <w:rPr>
          <w:rFonts w:ascii="Times New Roman" w:hAnsi="Times New Roman"/>
          <w:sz w:val="24"/>
          <w:szCs w:val="24"/>
        </w:rPr>
        <w:t>Лопазненской</w:t>
      </w:r>
      <w:proofErr w:type="spellEnd"/>
      <w:r w:rsidR="007F2521" w:rsidRPr="007F2521">
        <w:rPr>
          <w:rFonts w:ascii="Times New Roman" w:hAnsi="Times New Roman"/>
          <w:sz w:val="24"/>
          <w:szCs w:val="24"/>
        </w:rPr>
        <w:t xml:space="preserve"> сельской администрации </w:t>
      </w:r>
      <w:r w:rsidR="006F27BE" w:rsidRPr="007F2521">
        <w:rPr>
          <w:rFonts w:ascii="Times New Roman" w:hAnsi="Times New Roman"/>
          <w:sz w:val="24"/>
          <w:szCs w:val="24"/>
        </w:rPr>
        <w:t>от 1</w:t>
      </w:r>
      <w:r w:rsidR="006E5A06">
        <w:rPr>
          <w:rFonts w:ascii="Times New Roman" w:hAnsi="Times New Roman"/>
          <w:sz w:val="24"/>
          <w:szCs w:val="24"/>
        </w:rPr>
        <w:t>8</w:t>
      </w:r>
      <w:r w:rsidR="006F27BE" w:rsidRPr="007F2521">
        <w:rPr>
          <w:rFonts w:ascii="Times New Roman" w:hAnsi="Times New Roman"/>
          <w:sz w:val="24"/>
          <w:szCs w:val="24"/>
        </w:rPr>
        <w:t>.11.</w:t>
      </w:r>
      <w:r w:rsidR="00027915">
        <w:rPr>
          <w:rFonts w:ascii="Times New Roman" w:hAnsi="Times New Roman"/>
          <w:sz w:val="24"/>
          <w:szCs w:val="24"/>
        </w:rPr>
        <w:t>202</w:t>
      </w:r>
      <w:r w:rsidR="00DA08E2">
        <w:rPr>
          <w:rFonts w:ascii="Times New Roman" w:hAnsi="Times New Roman"/>
          <w:sz w:val="24"/>
          <w:szCs w:val="24"/>
        </w:rPr>
        <w:t>3</w:t>
      </w:r>
      <w:r w:rsidR="006F27BE" w:rsidRPr="007F2521">
        <w:rPr>
          <w:rFonts w:ascii="Times New Roman" w:hAnsi="Times New Roman"/>
          <w:sz w:val="24"/>
          <w:szCs w:val="24"/>
        </w:rPr>
        <w:t>г. №</w:t>
      </w:r>
      <w:r w:rsidR="00027915">
        <w:rPr>
          <w:rFonts w:ascii="Times New Roman" w:hAnsi="Times New Roman"/>
          <w:sz w:val="24"/>
          <w:szCs w:val="24"/>
        </w:rPr>
        <w:t xml:space="preserve"> 6</w:t>
      </w:r>
      <w:r w:rsidR="006E5A06">
        <w:rPr>
          <w:rFonts w:ascii="Times New Roman" w:hAnsi="Times New Roman"/>
          <w:sz w:val="24"/>
          <w:szCs w:val="24"/>
        </w:rPr>
        <w:t>6</w:t>
      </w:r>
      <w:r w:rsidR="006F27BE" w:rsidRPr="007F2521">
        <w:rPr>
          <w:rFonts w:ascii="Times New Roman" w:hAnsi="Times New Roman"/>
          <w:sz w:val="24"/>
          <w:szCs w:val="24"/>
        </w:rPr>
        <w:t>.</w:t>
      </w:r>
    </w:p>
    <w:p w:rsidR="00AB1365" w:rsidRPr="00734EA0" w:rsidRDefault="00AB1365" w:rsidP="0050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Название населенных пунктов, входящих в поселение:</w:t>
      </w:r>
      <w:r w:rsidRPr="00734E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  -</w:t>
      </w:r>
      <w:r w:rsidR="000A374A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села: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Лопазна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Ляличи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Костеничи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 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365" w:rsidRPr="00734EA0" w:rsidRDefault="00AB1365" w:rsidP="00AB13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0A374A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деревня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Миновка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AB1365" w:rsidRPr="00734EA0" w:rsidRDefault="00AB1365" w:rsidP="00AB13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0A374A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поселки Сенькин Ров, Весёлый, Красный Пахарь,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Першиков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Мостки. </w:t>
      </w:r>
    </w:p>
    <w:p w:rsidR="00900FF4" w:rsidRPr="00734EA0" w:rsidRDefault="00900FF4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Площадь поселения составляет 13098 га.</w:t>
      </w:r>
    </w:p>
    <w:p w:rsidR="00AB136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Демографическая ситуация, в ближайшую перспективу, будет развиваться под влиянием сложившихся тенденций рождаемости, смертности, миграционных процессов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 поселения. В целом она не получит существенных изменений и продолжится тенденция сокращения населения.</w:t>
      </w:r>
    </w:p>
    <w:p w:rsidR="00F76C6E" w:rsidRPr="00734EA0" w:rsidRDefault="00F76C6E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составляет </w:t>
      </w:r>
      <w:r w:rsidR="00C5153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436CE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экономически активное население – </w:t>
      </w:r>
      <w:r w:rsidR="00E42EC2">
        <w:rPr>
          <w:rFonts w:ascii="Times New Roman" w:eastAsia="Times New Roman" w:hAnsi="Times New Roman" w:cs="Times New Roman"/>
          <w:sz w:val="24"/>
          <w:szCs w:val="24"/>
        </w:rPr>
        <w:t>6</w:t>
      </w:r>
      <w:r w:rsidR="005C2F13"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AB1365" w:rsidRPr="00734EA0" w:rsidRDefault="00AB1365" w:rsidP="00AB13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Лопазненское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характеризуется неблагоприятным демографическим положением. На сегодняшний день сельское поселение характеризуются отрицательным естественным приростом населения, высокими показателями смертности и низкими показателями рождаемости. В сельском поселении наблюдается миграционный отток постоянно проживающего населения. Эти процессы негативным образом влияют на снижение трудового потенциала территории, а значит на снижение потребительского потенциала и на процессы территориального развития и пространственного освоения. </w:t>
      </w:r>
    </w:p>
    <w:p w:rsidR="00AB1365" w:rsidRPr="00734EA0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Основным направлением улучшения демографической ситуации остается повышение рождаемости, т.к. при ее уровне ниже рубежа простого воспроизводства населения даже самая низкая смертность не обеспечит прекращение убыли населения и стабилизации его численности, при этом миграционный прирост населения не является решением демографической проблемы.</w:t>
      </w:r>
    </w:p>
    <w:p w:rsidR="00B85307" w:rsidRPr="00734EA0" w:rsidRDefault="00900FF4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Основным источником дохода населения является заработная плата, вспомогательным – доходы от личного подсобного хозяйства. Количество личных подсобных хозяйств поселения</w:t>
      </w:r>
      <w:r w:rsidR="00F76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2EC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B436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2EC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734EA0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Первостепенной задачей является обеспечение рабочими местами экономически активное население, их финансовая поддержка с целью закрепления трудовых ресурсов в поселении.</w:t>
      </w:r>
    </w:p>
    <w:p w:rsidR="00AB1365" w:rsidRPr="00734EA0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Большая часть трудового населения занято в работе:</w:t>
      </w:r>
      <w:r w:rsidRPr="00734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КФХ «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Шкред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В.И.», АПХ «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Мираторг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>» и СПК «Родина».</w:t>
      </w:r>
    </w:p>
    <w:p w:rsidR="00AB1365" w:rsidRPr="00734EA0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прогноза социально-экономического развития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период до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а использовались данные предприятия АПХ «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Мираторг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», находящееся на территории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В своих прогнозах предприятие планирует рост заработной платы. Инвестиции в основной капитал планируется в сельскохозяйственных предприятиях на воспроизводство стада КРС.</w:t>
      </w:r>
    </w:p>
    <w:p w:rsidR="00AB1365" w:rsidRPr="00734EA0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Социальная сфера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представлена следующими объектами: </w:t>
      </w:r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МБОУ "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Ляличская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СОШ", МБОУ "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Лопазненская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СОШ",</w:t>
      </w:r>
      <w:r w:rsidR="00B85307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 детских са</w:t>
      </w:r>
      <w:r w:rsidR="00900FF4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B85307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в с. </w:t>
      </w:r>
      <w:proofErr w:type="spellStart"/>
      <w:r w:rsidR="00B85307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Ляличи</w:t>
      </w:r>
      <w:proofErr w:type="spellEnd"/>
      <w:r w:rsidR="00B85307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с. </w:t>
      </w:r>
      <w:proofErr w:type="spellStart"/>
      <w:r w:rsidR="00B85307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Лопазна</w:t>
      </w:r>
      <w:proofErr w:type="spellEnd"/>
      <w:r w:rsidR="00B85307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307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 библиотеки,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Лопазненский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дом культуры,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Костеничский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дом культуры, Офис врача общей практики -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.Л</w:t>
      </w:r>
      <w:proofErr w:type="gram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опазна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ФАПы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Ляличи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85307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Костеничи</w:t>
      </w:r>
      <w:proofErr w:type="spellEnd"/>
      <w:r w:rsidR="00B85307" w:rsidRPr="00734E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D5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Ляличским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социально-культурным центром и дворцово-парковым комплексом в с. </w:t>
      </w:r>
      <w:proofErr w:type="spellStart"/>
      <w:r w:rsidRPr="00734EA0">
        <w:rPr>
          <w:rFonts w:ascii="Times New Roman" w:eastAsia="Times New Roman" w:hAnsi="Times New Roman" w:cs="Times New Roman"/>
          <w:sz w:val="24"/>
          <w:szCs w:val="24"/>
        </w:rPr>
        <w:t>Ляличи</w:t>
      </w:r>
      <w:proofErr w:type="spellEnd"/>
      <w:r w:rsidRPr="00734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734EA0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Объектами жилищно-коммунального хозяйства на территории поселения является 12 водонапорных башен и артезианских скважин</w:t>
      </w:r>
      <w:r w:rsidR="00B85307" w:rsidRPr="00734EA0">
        <w:rPr>
          <w:rFonts w:ascii="Times New Roman" w:eastAsia="Times New Roman" w:hAnsi="Times New Roman" w:cs="Times New Roman"/>
          <w:sz w:val="24"/>
          <w:szCs w:val="24"/>
        </w:rPr>
        <w:t>, которые обслуживает МУП «</w:t>
      </w:r>
      <w:proofErr w:type="spellStart"/>
      <w:r w:rsidR="00B85307" w:rsidRPr="00734EA0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="00B85307" w:rsidRPr="00734EA0">
        <w:rPr>
          <w:rFonts w:ascii="Times New Roman" w:eastAsia="Times New Roman" w:hAnsi="Times New Roman" w:cs="Times New Roman"/>
          <w:sz w:val="24"/>
          <w:szCs w:val="24"/>
        </w:rPr>
        <w:t xml:space="preserve"> водоканал»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FF4" w:rsidRPr="00734EA0" w:rsidRDefault="00900FF4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>Протяженность дорог поселения 50 км</w:t>
      </w:r>
      <w:proofErr w:type="gramStart"/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734EA0">
        <w:rPr>
          <w:rFonts w:ascii="Times New Roman" w:eastAsia="Times New Roman" w:hAnsi="Times New Roman" w:cs="Times New Roman"/>
          <w:sz w:val="24"/>
          <w:szCs w:val="24"/>
        </w:rPr>
        <w:t>из них дорог с твердым покрытием - 9км.</w:t>
      </w:r>
    </w:p>
    <w:p w:rsidR="00AB1365" w:rsidRPr="00734EA0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на территории поселения не планируется. </w:t>
      </w:r>
    </w:p>
    <w:p w:rsidR="00AB1365" w:rsidRPr="00734EA0" w:rsidRDefault="00900FF4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Крупных торговых предприятий на территории поселения нет. </w:t>
      </w:r>
      <w:r w:rsidR="00AB1365" w:rsidRPr="00734EA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="00AB1365" w:rsidRPr="00734EA0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="00AB1365" w:rsidRPr="00734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товарами первой необходимости производят </w:t>
      </w:r>
      <w:r w:rsidR="00DB21A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1365" w:rsidRPr="00734EA0">
        <w:rPr>
          <w:rFonts w:ascii="Times New Roman" w:eastAsia="Times New Roman" w:hAnsi="Times New Roman" w:cs="Times New Roman"/>
          <w:sz w:val="24"/>
          <w:szCs w:val="24"/>
        </w:rPr>
        <w:t xml:space="preserve"> магазинов индивидуальных предпринимателей. Объекты общественного питания на территории поселения отсутствуют.</w:t>
      </w:r>
    </w:p>
    <w:p w:rsidR="00AB1365" w:rsidRPr="00734EA0" w:rsidRDefault="00AB1365" w:rsidP="00AB1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сообщение поселения </w:t>
      </w:r>
      <w:r w:rsidR="00B85307" w:rsidRPr="00734EA0">
        <w:rPr>
          <w:rFonts w:ascii="Times New Roman" w:eastAsia="Times New Roman" w:hAnsi="Times New Roman" w:cs="Times New Roman"/>
          <w:sz w:val="24"/>
          <w:szCs w:val="24"/>
        </w:rPr>
        <w:t xml:space="preserve">с районным центром 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</w:t>
      </w:r>
      <w:r w:rsidR="00DB21A9">
        <w:rPr>
          <w:rFonts w:ascii="Times New Roman" w:eastAsia="Times New Roman" w:hAnsi="Times New Roman" w:cs="Times New Roman"/>
          <w:sz w:val="24"/>
          <w:szCs w:val="24"/>
        </w:rPr>
        <w:t>ИП Гайдук</w:t>
      </w:r>
      <w:r w:rsidRPr="00734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1365" w:rsidRPr="005E4A79" w:rsidRDefault="00AB1365" w:rsidP="00AB1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проекта решения</w:t>
      </w:r>
    </w:p>
    <w:p w:rsidR="003C069A" w:rsidRPr="00FC6530" w:rsidRDefault="003C069A" w:rsidP="003C0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бюджете </w:t>
      </w:r>
      <w:proofErr w:type="spellStart"/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Лопазненско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proofErr w:type="spellEnd"/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 Суражского муниципального района Брянской области»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4615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Pr="00FC653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521FD" w:rsidRPr="00BA25F9" w:rsidRDefault="00D521FD" w:rsidP="00F7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5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1365" w:rsidRPr="00BA25F9">
        <w:rPr>
          <w:rFonts w:ascii="Times New Roman" w:eastAsia="Times New Roman" w:hAnsi="Times New Roman" w:cs="Times New Roman"/>
          <w:sz w:val="24"/>
          <w:szCs w:val="24"/>
        </w:rPr>
        <w:t xml:space="preserve">роект решения </w:t>
      </w:r>
      <w:proofErr w:type="spellStart"/>
      <w:r w:rsidR="00AB1365" w:rsidRPr="00BA25F9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="00AB1365" w:rsidRPr="00BA25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BA2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365" w:rsidRPr="00BA25F9">
        <w:rPr>
          <w:rFonts w:ascii="Times New Roman" w:eastAsia="Times New Roman" w:hAnsi="Times New Roman" w:cs="Times New Roman"/>
          <w:sz w:val="24"/>
          <w:szCs w:val="24"/>
        </w:rPr>
        <w:t xml:space="preserve">внесен в Контрольно-счётную палату Суражского муниципального района </w:t>
      </w:r>
      <w:r w:rsidR="00BA25F9" w:rsidRPr="00BA25F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800AC" w:rsidRPr="00BA25F9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00AC" w:rsidRPr="00BA25F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A25F9" w:rsidRPr="00BA25F9">
        <w:rPr>
          <w:rFonts w:ascii="Times New Roman" w:eastAsia="Times New Roman" w:hAnsi="Times New Roman" w:cs="Times New Roman"/>
          <w:sz w:val="24"/>
          <w:szCs w:val="24"/>
        </w:rPr>
        <w:t xml:space="preserve">, что не противоречит </w:t>
      </w:r>
      <w:r w:rsidR="00202EFC" w:rsidRPr="00BA2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5F9">
        <w:rPr>
          <w:rFonts w:ascii="Times New Roman" w:eastAsia="Times New Roman" w:hAnsi="Times New Roman" w:cs="Times New Roman"/>
          <w:sz w:val="24"/>
          <w:szCs w:val="24"/>
        </w:rPr>
        <w:t>п. 1 ст. 185 Бюджетного кодекса РФ</w:t>
      </w:r>
      <w:r w:rsidR="00202EFC" w:rsidRPr="00BA25F9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="006917D7" w:rsidRPr="00BA25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25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5E4A79" w:rsidRDefault="00890124" w:rsidP="00F7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со с</w:t>
      </w:r>
      <w:r w:rsidR="00AB1365" w:rsidRPr="005E4A79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B1365" w:rsidRPr="005E4A79">
        <w:rPr>
          <w:rFonts w:ascii="Times New Roman" w:eastAsia="Times New Roman" w:hAnsi="Times New Roman" w:cs="Times New Roman"/>
          <w:sz w:val="24"/>
          <w:szCs w:val="24"/>
        </w:rPr>
        <w:t xml:space="preserve"> 184.2 Бюджетного Кодекса РФ, одновременно с проектом Решения представлены следующие документы:</w:t>
      </w:r>
    </w:p>
    <w:p w:rsidR="00AB1365" w:rsidRPr="005E4A79" w:rsidRDefault="00AB1365" w:rsidP="00F76C6E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1. Прогноз социально-экономического развития </w:t>
      </w:r>
      <w:proofErr w:type="spellStart"/>
      <w:r w:rsidRPr="005E4A79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AB1365" w:rsidRPr="005E4A79" w:rsidRDefault="00AB1365" w:rsidP="00F7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2. Пояснительная записка к проекту бюджета </w:t>
      </w:r>
      <w:proofErr w:type="spellStart"/>
      <w:r w:rsidRPr="005E4A79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1461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6</w:t>
      </w:r>
      <w:r w:rsidR="00514615">
        <w:rPr>
          <w:rFonts w:ascii="Times New Roman" w:eastAsia="Times New Roman" w:hAnsi="Times New Roman" w:cs="Times New Roman"/>
          <w:sz w:val="24"/>
          <w:szCs w:val="24"/>
        </w:rPr>
        <w:t xml:space="preserve"> и 2027 годов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1365" w:rsidRPr="005E4A79" w:rsidRDefault="00AB1365" w:rsidP="00F7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3. Оценка ожидаемого исполнения бюджета за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60F" w:rsidRPr="005E4A79" w:rsidRDefault="0037560F" w:rsidP="00F7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4. Основные направления бюджетной и налоговой политики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 xml:space="preserve"> и до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E4A79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103C9F" w:rsidRDefault="00890124" w:rsidP="00F7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3C9F" w:rsidRPr="005E4A79">
        <w:rPr>
          <w:rFonts w:ascii="Times New Roman" w:eastAsia="Times New Roman" w:hAnsi="Times New Roman" w:cs="Times New Roman"/>
          <w:sz w:val="24"/>
          <w:szCs w:val="24"/>
        </w:rPr>
        <w:t>. Паспорта муниципальных программ.</w:t>
      </w:r>
    </w:p>
    <w:p w:rsidR="00B9542A" w:rsidRDefault="00B9542A" w:rsidP="00F7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Предварительные итоги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9 месяцев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и ожидаемые итоги социально-экономического развития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96D43" w:rsidRDefault="00796D43" w:rsidP="00F7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Реестры источников доходов.</w:t>
      </w:r>
    </w:p>
    <w:p w:rsidR="00BE67E1" w:rsidRPr="00B436CE" w:rsidRDefault="00B436CE" w:rsidP="00CC0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436C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BE67E1" w:rsidRPr="00B436CE">
        <w:rPr>
          <w:rFonts w:ascii="Times New Roman" w:eastAsia="Times New Roman" w:hAnsi="Times New Roman" w:cs="Times New Roman"/>
          <w:sz w:val="24"/>
          <w:szCs w:val="24"/>
        </w:rPr>
        <w:t xml:space="preserve"> Бюджетный прогноз на долгосрочный период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20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E67E1" w:rsidRPr="00B436CE">
        <w:rPr>
          <w:rFonts w:ascii="Times New Roman" w:eastAsia="Times New Roman" w:hAnsi="Times New Roman" w:cs="Times New Roman"/>
          <w:sz w:val="24"/>
          <w:szCs w:val="24"/>
        </w:rPr>
        <w:t xml:space="preserve"> (6 лет).</w:t>
      </w:r>
    </w:p>
    <w:p w:rsidR="00AB1365" w:rsidRPr="00766982" w:rsidRDefault="00AB1365" w:rsidP="00CC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бюджете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политике). </w:t>
      </w:r>
    </w:p>
    <w:p w:rsidR="00D32DE4" w:rsidRDefault="005C4A38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76698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ы утверждены постановлением </w:t>
      </w:r>
      <w:proofErr w:type="spellStart"/>
      <w:r w:rsidRPr="00766982">
        <w:rPr>
          <w:rFonts w:ascii="Times New Roman" w:eastAsia="Times New Roman" w:hAnsi="Times New Roman" w:cs="Times New Roman"/>
          <w:sz w:val="24"/>
          <w:szCs w:val="24"/>
        </w:rPr>
        <w:t>Лопазненской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</w:t>
      </w:r>
      <w:r w:rsidR="000D54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5F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7156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4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2A4D6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42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и налоговой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политики </w:t>
      </w:r>
      <w:proofErr w:type="spellStart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ы разработаны с учетом положений основных </w:t>
      </w:r>
      <w:hyperlink r:id="rId11" w:history="1">
        <w:r w:rsidR="00AB1365" w:rsidRPr="00766982">
          <w:rPr>
            <w:rFonts w:ascii="Times New Roman" w:eastAsia="Times New Roman" w:hAnsi="Times New Roman" w:cs="Times New Roman"/>
            <w:sz w:val="24"/>
            <w:szCs w:val="24"/>
          </w:rPr>
          <w:t>направлений</w:t>
        </w:r>
      </w:hyperlink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бюджетной и налоговой политики Российской Федерации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Послания Президента РФ Федеральному Собранию РФ</w:t>
      </w:r>
      <w:r w:rsidR="00CC2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766982" w:rsidRDefault="005C4A38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76698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направлены на развитие экономики, социальной стабильности, повышения уровня собираемости собственных доходов. 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 w:rsidRPr="0076698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Исполнена статья 184.1 БК РФ в части состава показателей, утверждаемых в проекте бюджета </w:t>
      </w:r>
      <w:proofErr w:type="spellStart"/>
      <w:r w:rsidRPr="0076698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поселения: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 –</w:t>
      </w:r>
      <w:r w:rsidR="006E1A72"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4284,3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E1A72"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4284,3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– в сумме </w:t>
      </w:r>
      <w:r w:rsidR="00D32DE4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перечень главных администраторов доходов бюджета;</w:t>
      </w:r>
    </w:p>
    <w:p w:rsidR="00AB1365" w:rsidRPr="00766982" w:rsidRDefault="00AB1365" w:rsidP="00AB136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66982">
        <w:rPr>
          <w:rFonts w:ascii="Wingdings" w:eastAsia="Times New Roman" w:hAnsi="Wingdings" w:cs="Arial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муниципальным программам и непрограммным направлениям деятельности, группам (группам и подгруппам) видов расходов и (или) по целевым статьям муниципальным программам и непрограммным направлениям деятельности, группам (группам и подгруппам) видов расходов классификации расходов бюджетов на очередной финансовый год, а также по разделам</w:t>
      </w:r>
      <w:proofErr w:type="gram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AB1365" w:rsidRPr="00766982" w:rsidRDefault="00AB1365" w:rsidP="00AB136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6982">
        <w:rPr>
          <w:rFonts w:ascii="Wingdings" w:eastAsia="Times New Roman" w:hAnsi="Wingdings" w:cs="Arial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ведомственная структура расходов бюджета на очередной финансовый год;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объемы межбюджетных трансфертов, получаемых из других бюджетов бюджетной системы</w:t>
      </w:r>
      <w:r w:rsidR="00890124" w:rsidRPr="007669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1365" w:rsidRPr="00766982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- 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2295,3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390,4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396,6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    верхний предел муниципального внутреннего долга на 01.01.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>а, на 01.01.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>на 01.01.202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73A7B" w:rsidRPr="0076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года в сумме 0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lastRenderedPageBreak/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    дополнительно проектом установлен размер резервного фонда </w:t>
      </w:r>
      <w:proofErr w:type="spellStart"/>
      <w:r w:rsidRPr="0076698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C95F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 – 5,0 тыс. рублей;</w:t>
      </w:r>
    </w:p>
    <w:p w:rsidR="00AB1365" w:rsidRPr="00766982" w:rsidRDefault="00AB1365" w:rsidP="00AB13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 – 5,0 тыс. рублей.</w:t>
      </w:r>
    </w:p>
    <w:p w:rsidR="00AB1365" w:rsidRPr="0076698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 и на плановый период </w:t>
      </w:r>
      <w:r w:rsidR="00BE1841">
        <w:rPr>
          <w:rFonts w:ascii="Times New Roman" w:eastAsia="Times New Roman" w:hAnsi="Times New Roman" w:cs="Times New Roman"/>
          <w:sz w:val="24"/>
          <w:szCs w:val="24"/>
        </w:rPr>
        <w:t xml:space="preserve">установлен 5,0 тыс. рублей ежегодно и 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не превышает установленное статьей 81 БК РФ ограничение 3,0% общего объема расходов.</w:t>
      </w:r>
    </w:p>
    <w:p w:rsidR="00AB1365" w:rsidRPr="00766982" w:rsidRDefault="00F6517D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365" w:rsidRPr="00766982" w:rsidRDefault="003B3B7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предусмотрено, что остатки средств местного бюджета на начало текущего финансового года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</w:t>
      </w:r>
      <w:proofErr w:type="gram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сумму остатка неиспользованных бюджетных ассигнований на указанные цели.</w:t>
      </w:r>
    </w:p>
    <w:p w:rsidR="00AB1365" w:rsidRPr="00766982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30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бюджетных кредитов и муниципальных гарантий </w:t>
      </w:r>
      <w:proofErr w:type="spellStart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Лопазненским</w:t>
      </w:r>
      <w:proofErr w:type="spell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 </w:t>
      </w:r>
      <w:r w:rsidR="00BC3081">
        <w:rPr>
          <w:rFonts w:ascii="Times New Roman" w:eastAsia="Times New Roman" w:hAnsi="Times New Roman" w:cs="Times New Roman"/>
          <w:sz w:val="24"/>
          <w:szCs w:val="24"/>
        </w:rPr>
        <w:t>проектом бюджета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не планируется.</w:t>
      </w:r>
    </w:p>
    <w:p w:rsidR="00AB1365" w:rsidRPr="00766982" w:rsidRDefault="00A92469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30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сновные характеристики бюджета </w:t>
      </w:r>
      <w:proofErr w:type="spellStart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</w:t>
      </w:r>
      <w:r w:rsidR="00353B10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F6B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53B1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2469" w:rsidRPr="005A1063" w:rsidRDefault="00A92469" w:rsidP="005A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063">
        <w:rPr>
          <w:rFonts w:ascii="Wingdings" w:eastAsia="Times New Roman" w:hAnsi="Wingdings" w:cs="Times New Roman"/>
          <w:sz w:val="24"/>
          <w:szCs w:val="24"/>
        </w:rPr>
        <w:t></w:t>
      </w:r>
      <w:r w:rsidRPr="005A10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3081" w:rsidRPr="005A106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1063">
        <w:rPr>
          <w:rFonts w:ascii="Times New Roman" w:eastAsia="Times New Roman" w:hAnsi="Times New Roman" w:cs="Times New Roman"/>
          <w:sz w:val="24"/>
          <w:szCs w:val="24"/>
        </w:rPr>
        <w:t>словно утверждаемые расходы планового периода.</w:t>
      </w:r>
    </w:p>
    <w:p w:rsidR="009E3752" w:rsidRDefault="009E3752" w:rsidP="005A1063">
      <w:pPr>
        <w:pStyle w:val="af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5A1063">
        <w:rPr>
          <w:sz w:val="24"/>
          <w:szCs w:val="24"/>
        </w:rPr>
        <w:t>О</w:t>
      </w:r>
      <w:r w:rsidR="00353B10" w:rsidRPr="005A1063">
        <w:rPr>
          <w:sz w:val="24"/>
          <w:szCs w:val="24"/>
        </w:rPr>
        <w:t xml:space="preserve">бъем межбюджетных трансфертов, передаваемых поселением (в рамках Соглашений о передаче полномочий по внешнему </w:t>
      </w:r>
      <w:r w:rsidR="00BC3081" w:rsidRPr="005A1063">
        <w:rPr>
          <w:sz w:val="24"/>
          <w:szCs w:val="24"/>
        </w:rPr>
        <w:t xml:space="preserve">муниципальному </w:t>
      </w:r>
      <w:r w:rsidR="00353B10" w:rsidRPr="005A1063">
        <w:rPr>
          <w:sz w:val="24"/>
          <w:szCs w:val="24"/>
        </w:rPr>
        <w:t>финансовому контролю)</w:t>
      </w:r>
      <w:r w:rsidRPr="005A1063">
        <w:rPr>
          <w:sz w:val="24"/>
          <w:szCs w:val="24"/>
        </w:rPr>
        <w:t xml:space="preserve"> по </w:t>
      </w:r>
      <w:r w:rsidR="005F6B7D">
        <w:rPr>
          <w:sz w:val="24"/>
          <w:szCs w:val="24"/>
        </w:rPr>
        <w:t>2,0</w:t>
      </w:r>
      <w:r w:rsidRPr="005A1063">
        <w:rPr>
          <w:sz w:val="24"/>
          <w:szCs w:val="24"/>
        </w:rPr>
        <w:t xml:space="preserve"> тыс. рублей ежегодно</w:t>
      </w:r>
      <w:r w:rsidR="007A4CDA">
        <w:rPr>
          <w:sz w:val="24"/>
          <w:szCs w:val="24"/>
        </w:rPr>
        <w:t>.</w:t>
      </w:r>
    </w:p>
    <w:p w:rsidR="00203F30" w:rsidRPr="00A94818" w:rsidRDefault="00A94818" w:rsidP="00D12689">
      <w:pPr>
        <w:tabs>
          <w:tab w:val="left" w:pos="0"/>
          <w:tab w:val="left" w:pos="666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3F30" w:rsidRPr="006E5720">
        <w:rPr>
          <w:rFonts w:ascii="Times New Roman" w:hAnsi="Times New Roman" w:cs="Times New Roman"/>
          <w:sz w:val="24"/>
          <w:szCs w:val="24"/>
        </w:rPr>
        <w:t xml:space="preserve">При изучении проекта Решения о бюджете </w:t>
      </w:r>
      <w:r>
        <w:rPr>
          <w:rFonts w:ascii="Times New Roman" w:hAnsi="Times New Roman" w:cs="Times New Roman"/>
          <w:sz w:val="24"/>
          <w:szCs w:val="24"/>
        </w:rPr>
        <w:t xml:space="preserve">на 2025 год и плановый период 2026-2027 годов </w:t>
      </w:r>
      <w:r w:rsidR="00203F30" w:rsidRPr="006E5720">
        <w:rPr>
          <w:rFonts w:ascii="Times New Roman" w:hAnsi="Times New Roman" w:cs="Times New Roman"/>
          <w:sz w:val="24"/>
          <w:szCs w:val="24"/>
        </w:rPr>
        <w:t xml:space="preserve">и приложений к нему, установлено, что </w:t>
      </w:r>
      <w:r w:rsidR="00203F30" w:rsidRPr="00A94818">
        <w:rPr>
          <w:rFonts w:ascii="Times New Roman" w:hAnsi="Times New Roman" w:cs="Times New Roman"/>
          <w:b/>
          <w:i/>
          <w:sz w:val="24"/>
          <w:szCs w:val="24"/>
        </w:rPr>
        <w:t>в нарушение ст. 184.1 Бюджетного кодекса РФ приложения представлены не в полном объеме, а именно отсутствует:</w:t>
      </w:r>
    </w:p>
    <w:p w:rsidR="00D12689" w:rsidRPr="00A94818" w:rsidRDefault="00D12689" w:rsidP="00D12689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 w:rsidRPr="00A94818">
        <w:rPr>
          <w:rFonts w:ascii="Times New Roman" w:hAnsi="Times New Roman" w:cs="Times New Roman"/>
          <w:b/>
          <w:i/>
          <w:sz w:val="24"/>
          <w:szCs w:val="24"/>
        </w:rPr>
        <w:t>Овчинского</w:t>
      </w:r>
      <w:proofErr w:type="spellEnd"/>
      <w:r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203F30" w:rsidRPr="00A94818" w:rsidRDefault="00203F30" w:rsidP="00D12689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818">
        <w:rPr>
          <w:rFonts w:ascii="Times New Roman" w:hAnsi="Times New Roman" w:cs="Times New Roman"/>
          <w:b/>
          <w:i/>
          <w:sz w:val="24"/>
          <w:szCs w:val="24"/>
        </w:rPr>
        <w:t>-  п</w:t>
      </w:r>
      <w:r w:rsidR="00F56CA3"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 w:rsidR="00F56CA3" w:rsidRPr="00A94818">
        <w:rPr>
          <w:rFonts w:ascii="Times New Roman" w:hAnsi="Times New Roman" w:cs="Times New Roman"/>
          <w:b/>
          <w:i/>
          <w:sz w:val="24"/>
          <w:szCs w:val="24"/>
        </w:rPr>
        <w:t>Овчинского</w:t>
      </w:r>
      <w:proofErr w:type="spellEnd"/>
      <w:r w:rsidR="00F56CA3"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</w:t>
      </w:r>
      <w:r w:rsidR="00D12689" w:rsidRPr="00A9481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80725" w:rsidRDefault="00D12689" w:rsidP="00D12689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818">
        <w:rPr>
          <w:rFonts w:ascii="Times New Roman" w:hAnsi="Times New Roman" w:cs="Times New Roman"/>
          <w:b/>
          <w:i/>
          <w:sz w:val="24"/>
          <w:szCs w:val="24"/>
        </w:rPr>
        <w:t>- приложение№ 9 «</w:t>
      </w:r>
      <w:r w:rsidR="00D80725"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муниципальных гарантий </w:t>
      </w:r>
      <w:proofErr w:type="spellStart"/>
      <w:r w:rsidR="00D80725" w:rsidRPr="00A94818">
        <w:rPr>
          <w:rFonts w:ascii="Times New Roman" w:hAnsi="Times New Roman" w:cs="Times New Roman"/>
          <w:b/>
          <w:i/>
          <w:sz w:val="24"/>
          <w:szCs w:val="24"/>
        </w:rPr>
        <w:t>Овчинского</w:t>
      </w:r>
      <w:proofErr w:type="spellEnd"/>
      <w:r w:rsidR="00D80725" w:rsidRPr="00A94818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</w:t>
      </w:r>
      <w:r w:rsidRPr="00A94818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727B3C" w:rsidRPr="00A94818" w:rsidRDefault="00727B3C" w:rsidP="00D12689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</w:p>
    <w:p w:rsidR="00AB1365" w:rsidRPr="00766982" w:rsidRDefault="00AB1365" w:rsidP="003241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бюджета </w:t>
      </w:r>
      <w:proofErr w:type="spellStart"/>
      <w:r w:rsidRPr="00766982">
        <w:rPr>
          <w:rFonts w:ascii="Times New Roman" w:eastAsia="Times New Roman" w:hAnsi="Times New Roman" w:cs="Times New Roman"/>
          <w:b/>
          <w:bCs/>
          <w:sz w:val="24"/>
          <w:szCs w:val="24"/>
        </w:rPr>
        <w:t>Лопазненского</w:t>
      </w:r>
      <w:proofErr w:type="spellEnd"/>
      <w:r w:rsidRPr="00766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514615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="0032418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66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B1365" w:rsidRDefault="00AB1365" w:rsidP="00AB136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3241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101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006"/>
        <w:gridCol w:w="866"/>
        <w:gridCol w:w="851"/>
        <w:gridCol w:w="850"/>
        <w:gridCol w:w="851"/>
        <w:gridCol w:w="708"/>
        <w:gridCol w:w="851"/>
        <w:gridCol w:w="850"/>
      </w:tblGrid>
      <w:tr w:rsidR="00176D1D" w:rsidRPr="003C765A" w:rsidTr="00324183">
        <w:trPr>
          <w:trHeight w:val="25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9F6529" w:rsidRDefault="00176D1D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Основные характеристики проекта бюджета 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9F6529" w:rsidRDefault="00027915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8750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76D1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176D1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д-</w:t>
            </w:r>
            <w:proofErr w:type="gramEnd"/>
            <w:r w:rsidR="00176D1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176D1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176D1D" w:rsidRPr="009F6529" w:rsidRDefault="00176D1D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</w:p>
        </w:tc>
        <w:tc>
          <w:tcPr>
            <w:tcW w:w="2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9F6529" w:rsidRDefault="00027915" w:rsidP="008875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8750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176D1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9F6529" w:rsidRDefault="00027915" w:rsidP="008875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8750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176D1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027915" w:rsidP="008875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8750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176D1D" w:rsidRPr="009F65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176D1D" w:rsidRPr="003C765A" w:rsidTr="00324183">
        <w:trPr>
          <w:trHeight w:val="679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D1D" w:rsidRPr="003C765A" w:rsidRDefault="00176D1D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D1D" w:rsidRPr="003C765A" w:rsidRDefault="00176D1D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176D1D" w:rsidRPr="003C765A" w:rsidRDefault="00176D1D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FB72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к 20</w:t>
            </w:r>
            <w:r w:rsidR="00FB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176D1D" w:rsidRPr="003C765A" w:rsidRDefault="00176D1D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FB72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к 202</w:t>
            </w:r>
            <w:r w:rsidR="00FB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1D" w:rsidRPr="003C765A" w:rsidRDefault="00176D1D" w:rsidP="00FB72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B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</w:tr>
      <w:tr w:rsidR="009F6529" w:rsidRPr="003C765A" w:rsidTr="00090B2B">
        <w:trPr>
          <w:trHeight w:val="25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529" w:rsidRPr="003C765A" w:rsidRDefault="009F6529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</w:t>
            </w:r>
          </w:p>
        </w:tc>
      </w:tr>
      <w:tr w:rsidR="009F6529" w:rsidRPr="003C765A" w:rsidTr="00090B2B">
        <w:trPr>
          <w:trHeight w:val="21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529" w:rsidRPr="003C765A" w:rsidRDefault="009F6529" w:rsidP="00530C5C">
            <w:pPr>
              <w:spacing w:after="0" w:line="21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</w:t>
            </w:r>
          </w:p>
        </w:tc>
      </w:tr>
      <w:tr w:rsidR="009F6529" w:rsidRPr="003C765A" w:rsidTr="00090B2B">
        <w:trPr>
          <w:trHeight w:val="26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529" w:rsidRPr="003C765A" w:rsidRDefault="009F6529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Дефицит (Профицит)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-442,3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C316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529" w:rsidRPr="009F6529" w:rsidRDefault="009F65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5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AB1365" w:rsidRPr="00766982" w:rsidRDefault="00027915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202</w:t>
      </w:r>
      <w:r w:rsidR="00D30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  предусмотрен в сумме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4284,3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B10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598,7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16,2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AB1365" w:rsidRPr="00766982" w:rsidRDefault="00AB1365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4284,3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156,4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3,8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а. Дефицит бюджета предусмотрен в сумме </w:t>
      </w:r>
      <w:r w:rsidR="00D45A5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  </w:t>
      </w:r>
    </w:p>
    <w:p w:rsidR="00AB1365" w:rsidRPr="00766982" w:rsidRDefault="00027915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D30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и расходов бюджета  предусмотрен в сумме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1774,4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</w:t>
      </w:r>
      <w:r w:rsidR="00B77A48" w:rsidRPr="0076698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D380E">
        <w:rPr>
          <w:rFonts w:ascii="Times New Roman" w:eastAsia="Times New Roman" w:hAnsi="Times New Roman" w:cs="Times New Roman"/>
          <w:sz w:val="24"/>
          <w:szCs w:val="24"/>
        </w:rPr>
        <w:t xml:space="preserve">меньшением </w:t>
      </w:r>
      <w:r w:rsidR="00644DA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прогнозируемому объему доходов </w:t>
      </w:r>
      <w:r w:rsidR="00644DAB">
        <w:rPr>
          <w:rFonts w:ascii="Times New Roman" w:eastAsia="Times New Roman" w:hAnsi="Times New Roman" w:cs="Times New Roman"/>
          <w:sz w:val="24"/>
          <w:szCs w:val="24"/>
        </w:rPr>
        <w:t xml:space="preserve">и расходов </w:t>
      </w:r>
      <w:r w:rsidR="00B357B9">
        <w:rPr>
          <w:rFonts w:ascii="Times New Roman" w:eastAsia="Times New Roman" w:hAnsi="Times New Roman" w:cs="Times New Roman"/>
          <w:sz w:val="24"/>
          <w:szCs w:val="24"/>
        </w:rPr>
        <w:t>предыдущего года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58,6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%</w:t>
      </w:r>
      <w:r w:rsidR="00644D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не предусмотрен.</w:t>
      </w:r>
    </w:p>
    <w:p w:rsidR="00AB1365" w:rsidRPr="00766982" w:rsidRDefault="00027915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D30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2C7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и расходов бюджета  предусмотрен в сумме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1775,6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у</w:t>
      </w:r>
      <w:r w:rsidR="00560B8C">
        <w:rPr>
          <w:rFonts w:ascii="Times New Roman" w:eastAsia="Times New Roman" w:hAnsi="Times New Roman" w:cs="Times New Roman"/>
          <w:sz w:val="24"/>
          <w:szCs w:val="24"/>
        </w:rPr>
        <w:t>величением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к прогнозируемому объему доходов и расходов </w:t>
      </w:r>
      <w:r w:rsidR="00B357B9">
        <w:rPr>
          <w:rFonts w:ascii="Times New Roman" w:eastAsia="Times New Roman" w:hAnsi="Times New Roman" w:cs="Times New Roman"/>
          <w:sz w:val="24"/>
          <w:szCs w:val="24"/>
        </w:rPr>
        <w:t>предыдущего года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3071A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AB1365" w:rsidRPr="00766982">
        <w:rPr>
          <w:rFonts w:ascii="Times New Roman" w:eastAsia="Times New Roman" w:hAnsi="Times New Roman" w:cs="Times New Roman"/>
          <w:sz w:val="24"/>
          <w:szCs w:val="24"/>
        </w:rPr>
        <w:t>%. Дефицит бюджета не предусмотрен.</w:t>
      </w:r>
    </w:p>
    <w:p w:rsidR="00AB1365" w:rsidRPr="004E2A6E" w:rsidRDefault="00AB1365" w:rsidP="00AB1365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3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4E2A6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доходной части проекта бюджета</w:t>
      </w:r>
    </w:p>
    <w:p w:rsidR="00AB1365" w:rsidRPr="004E2A6E" w:rsidRDefault="00AB1365" w:rsidP="00AB1365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4E2A6E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644DAB" w:rsidRPr="00D87F67" w:rsidRDefault="00644DAB" w:rsidP="00530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показателей доходной части бюджета в </w:t>
      </w:r>
      <w:r w:rsidR="0002791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3335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02791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3335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644DAB" w:rsidRDefault="00644DAB" w:rsidP="00644D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0383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062" w:type="dxa"/>
        <w:jc w:val="center"/>
        <w:tblInd w:w="-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021"/>
        <w:gridCol w:w="1009"/>
        <w:gridCol w:w="1094"/>
        <w:gridCol w:w="782"/>
        <w:gridCol w:w="969"/>
        <w:gridCol w:w="740"/>
        <w:gridCol w:w="980"/>
        <w:gridCol w:w="861"/>
      </w:tblGrid>
      <w:tr w:rsidR="00D00706" w:rsidRPr="00465637" w:rsidTr="00964823">
        <w:trPr>
          <w:trHeight w:val="285"/>
          <w:jc w:val="center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EB1AD6" w:rsidP="00530C5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Показатель 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027915" w:rsidP="00530C5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33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EB1AD6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gramEnd"/>
            <w:r w:rsidR="00EB1AD6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EB1AD6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EB1AD6" w:rsidRPr="00465637" w:rsidRDefault="00EB1AD6" w:rsidP="00530C5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</w:p>
        </w:tc>
        <w:tc>
          <w:tcPr>
            <w:tcW w:w="2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027915" w:rsidP="0033335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33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027915" w:rsidP="0033335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33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027915" w:rsidP="00333359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333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EB1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D00706" w:rsidRPr="00465637" w:rsidTr="00964823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AD6" w:rsidRPr="00465637" w:rsidRDefault="00EB1AD6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AD6" w:rsidRPr="00465637" w:rsidRDefault="00EB1AD6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EB1AD6" w:rsidP="00530C5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EB1AD6" w:rsidRPr="00465637" w:rsidRDefault="00EB1AD6" w:rsidP="00530C5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EB1AD6" w:rsidP="00530C5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06" w:rsidRDefault="00EB1AD6" w:rsidP="00D00706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="00D00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</w:p>
          <w:p w:rsidR="00EB1AD6" w:rsidRPr="00465637" w:rsidRDefault="00EB1AD6" w:rsidP="00D00706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EB1AD6" w:rsidP="00530C5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EB1AD6" w:rsidRPr="00465637" w:rsidRDefault="00EB1AD6" w:rsidP="00530C5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EB1AD6" w:rsidP="00D00706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="00D00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EB1AD6" w:rsidP="00530C5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D6" w:rsidRPr="00465637" w:rsidRDefault="00EB1AD6" w:rsidP="00D00706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="00D007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</w:tr>
      <w:tr w:rsidR="00964823" w:rsidRPr="00465637" w:rsidTr="00964823">
        <w:trPr>
          <w:trHeight w:val="255"/>
          <w:jc w:val="center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23" w:rsidRPr="00465637" w:rsidRDefault="00964823" w:rsidP="00530C5C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3685,6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4284,3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598,7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100,1</w:t>
            </w:r>
          </w:p>
        </w:tc>
      </w:tr>
      <w:tr w:rsidR="00964823" w:rsidRPr="00465637" w:rsidTr="00964823">
        <w:trPr>
          <w:trHeight w:val="255"/>
          <w:jc w:val="center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23" w:rsidRPr="00465637" w:rsidRDefault="00964823" w:rsidP="00530C5C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1379,0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</w:tr>
      <w:tr w:rsidR="00964823" w:rsidRPr="00465637" w:rsidTr="00964823">
        <w:trPr>
          <w:trHeight w:val="255"/>
          <w:jc w:val="center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23" w:rsidRPr="00465637" w:rsidRDefault="00964823" w:rsidP="00530C5C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284A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19,6 раза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0A2851" w:rsidP="000A2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64823" w:rsidRPr="00465637" w:rsidTr="00964823">
        <w:trPr>
          <w:trHeight w:val="315"/>
          <w:jc w:val="center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23" w:rsidRPr="00465637" w:rsidRDefault="00964823" w:rsidP="00530C5C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2295,3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823" w:rsidRPr="00964823" w:rsidRDefault="009648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8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101,6</w:t>
            </w:r>
          </w:p>
        </w:tc>
      </w:tr>
    </w:tbl>
    <w:p w:rsidR="00284AAF" w:rsidRDefault="00EB1AD6" w:rsidP="00EB1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Доходы проекта бюджета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6482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AA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оценки уровня бюджета за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648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84AAF">
        <w:rPr>
          <w:rFonts w:ascii="Times New Roman" w:eastAsia="Times New Roman" w:hAnsi="Times New Roman" w:cs="Times New Roman"/>
          <w:sz w:val="24"/>
          <w:szCs w:val="24"/>
        </w:rPr>
        <w:t>16,2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E27BA">
        <w:rPr>
          <w:rFonts w:ascii="Times New Roman" w:eastAsia="Times New Roman" w:hAnsi="Times New Roman" w:cs="Times New Roman"/>
          <w:sz w:val="24"/>
          <w:szCs w:val="24"/>
        </w:rPr>
        <w:t xml:space="preserve">в основном 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="00284AAF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="007F1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AAF">
        <w:rPr>
          <w:rFonts w:ascii="Times New Roman" w:eastAsia="Times New Roman" w:hAnsi="Times New Roman" w:cs="Times New Roman"/>
          <w:sz w:val="24"/>
          <w:szCs w:val="24"/>
        </w:rPr>
        <w:t>в 19,6 раза неналоговых доходов, и на 4,8% безвозмездных поступлений.</w:t>
      </w:r>
    </w:p>
    <w:p w:rsidR="00ED6A63" w:rsidRPr="00DA40DD" w:rsidRDefault="00ED6A63" w:rsidP="00530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доходов бюджета в </w:t>
      </w:r>
      <w:r w:rsidR="0002791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3335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A4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02791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3335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A4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годах</w:t>
      </w:r>
    </w:p>
    <w:p w:rsidR="00ED6A63" w:rsidRDefault="00ED6A63" w:rsidP="00ED6A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24696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992"/>
        <w:gridCol w:w="850"/>
        <w:gridCol w:w="993"/>
        <w:gridCol w:w="709"/>
        <w:gridCol w:w="1134"/>
        <w:gridCol w:w="708"/>
        <w:gridCol w:w="851"/>
        <w:gridCol w:w="851"/>
        <w:gridCol w:w="30"/>
      </w:tblGrid>
      <w:tr w:rsidR="006B2708" w:rsidRPr="00304924" w:rsidTr="003C6EF4">
        <w:trPr>
          <w:trHeight w:val="255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530C5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</w:t>
            </w:r>
            <w:proofErr w:type="spellEnd"/>
          </w:p>
          <w:p w:rsidR="006B2708" w:rsidRPr="00304924" w:rsidRDefault="006B2708" w:rsidP="00530C5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530C5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</w:t>
            </w:r>
            <w:proofErr w:type="spellEnd"/>
          </w:p>
          <w:p w:rsidR="006B2708" w:rsidRPr="00304924" w:rsidRDefault="006B2708" w:rsidP="00530C5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даемое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6B2708" w:rsidRPr="00304924" w:rsidRDefault="006B2708" w:rsidP="00036A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36A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530C5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036A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36A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530C5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036A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36A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530C5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036AE8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36A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08" w:rsidRPr="00304924" w:rsidRDefault="006B2708" w:rsidP="00530C5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</w:t>
            </w:r>
            <w:proofErr w:type="spellEnd"/>
          </w:p>
          <w:p w:rsidR="006B2708" w:rsidRPr="00304924" w:rsidRDefault="006B2708" w:rsidP="003C6EF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ктура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530C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708" w:rsidRPr="00304924" w:rsidTr="003C6EF4">
        <w:trPr>
          <w:trHeight w:val="255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530C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708" w:rsidRPr="00304924" w:rsidTr="003C6EF4">
        <w:trPr>
          <w:trHeight w:val="255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2708" w:rsidRPr="00304924" w:rsidRDefault="006B2708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6B2708" w:rsidRPr="00304924" w:rsidRDefault="006B2708" w:rsidP="00530C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51C4" w:rsidRPr="00304924" w:rsidTr="003C6EF4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C4" w:rsidRPr="00304924" w:rsidRDefault="002C51C4" w:rsidP="00530C5C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</w:tcPr>
          <w:p w:rsidR="002C51C4" w:rsidRPr="00304924" w:rsidRDefault="002C51C4" w:rsidP="00530C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51C4" w:rsidRPr="00304924" w:rsidTr="003C6EF4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C4" w:rsidRPr="00304924" w:rsidRDefault="002C51C4" w:rsidP="00530C5C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30" w:type="dxa"/>
            <w:vAlign w:val="center"/>
            <w:hideMark/>
          </w:tcPr>
          <w:p w:rsidR="002C51C4" w:rsidRPr="00304924" w:rsidRDefault="002C51C4" w:rsidP="00530C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51C4" w:rsidRPr="00304924" w:rsidTr="003C6EF4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C4" w:rsidRPr="00304924" w:rsidRDefault="002C51C4" w:rsidP="00530C5C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2C51C4" w:rsidRPr="00304924" w:rsidRDefault="002C51C4" w:rsidP="00530C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51C4" w:rsidRPr="00304924" w:rsidTr="003C6EF4">
        <w:trPr>
          <w:trHeight w:val="2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1C4" w:rsidRPr="00304924" w:rsidRDefault="002C51C4" w:rsidP="00530C5C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1C4" w:rsidRPr="002C51C4" w:rsidRDefault="002C5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30" w:type="dxa"/>
            <w:vAlign w:val="center"/>
            <w:hideMark/>
          </w:tcPr>
          <w:p w:rsidR="002C51C4" w:rsidRPr="00304924" w:rsidRDefault="002C51C4" w:rsidP="00530C5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2708" w:rsidRPr="00133F41" w:rsidRDefault="006B2708" w:rsidP="00530C5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027915" w:rsidRPr="0037017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 года наибольший объем в структуре доходов занимают 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B6E96">
        <w:rPr>
          <w:rFonts w:ascii="Times New Roman" w:eastAsia="Times New Roman" w:hAnsi="Times New Roman" w:cs="Times New Roman"/>
          <w:sz w:val="24"/>
          <w:szCs w:val="24"/>
        </w:rPr>
        <w:t>53,7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%, при этом </w:t>
      </w:r>
      <w:r w:rsidR="000B6E96">
        <w:rPr>
          <w:rFonts w:ascii="Times New Roman" w:eastAsia="Times New Roman" w:hAnsi="Times New Roman" w:cs="Times New Roman"/>
          <w:sz w:val="24"/>
          <w:szCs w:val="24"/>
        </w:rPr>
        <w:t>снизившись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 xml:space="preserve">ожидаемому исполнению </w:t>
      </w:r>
      <w:r w:rsidR="00027915" w:rsidRPr="0037017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381" w:rsidRPr="0037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года на </w:t>
      </w:r>
      <w:r w:rsidR="000B6E96">
        <w:rPr>
          <w:rFonts w:ascii="Times New Roman" w:eastAsia="Times New Roman" w:hAnsi="Times New Roman" w:cs="Times New Roman"/>
          <w:sz w:val="24"/>
          <w:szCs w:val="24"/>
        </w:rPr>
        <w:t>5,8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пункта. Доля 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налоговых доходов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 в прогнозируемом периоде </w:t>
      </w:r>
      <w:r w:rsidR="00027915" w:rsidRPr="0037017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составит 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32,4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>%, что</w:t>
      </w:r>
      <w:r w:rsidR="00FE6381" w:rsidRPr="0037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E96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 уровня </w:t>
      </w:r>
      <w:r w:rsidR="00027915" w:rsidRPr="0037017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7,3</w:t>
      </w:r>
      <w:r w:rsidR="00FE6381" w:rsidRPr="00370170">
        <w:rPr>
          <w:rFonts w:ascii="Times New Roman" w:eastAsia="Times New Roman" w:hAnsi="Times New Roman" w:cs="Times New Roman"/>
          <w:sz w:val="24"/>
          <w:szCs w:val="24"/>
        </w:rPr>
        <w:t xml:space="preserve"> процентны</w:t>
      </w:r>
      <w:r w:rsidR="002B4E8E" w:rsidRPr="0037017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E6381" w:rsidRPr="00370170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0B6E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701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708" w:rsidRPr="003E4912" w:rsidRDefault="006B2708" w:rsidP="0053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41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33F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F6BC5" w:rsidRPr="00133F41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133F41">
        <w:rPr>
          <w:rFonts w:ascii="Times New Roman" w:eastAsia="Times New Roman" w:hAnsi="Times New Roman" w:cs="Times New Roman"/>
          <w:sz w:val="24"/>
          <w:szCs w:val="24"/>
        </w:rPr>
        <w:t xml:space="preserve">наибольший объем в структуре собственных доходов занимают налоговые доходы – 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78,0</w:t>
      </w:r>
      <w:r w:rsidRPr="00133F41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77,7</w:t>
      </w:r>
      <w:r w:rsidRPr="00133F41">
        <w:rPr>
          <w:rFonts w:ascii="Times New Roman" w:eastAsia="Times New Roman" w:hAnsi="Times New Roman" w:cs="Times New Roman"/>
          <w:sz w:val="24"/>
          <w:szCs w:val="24"/>
        </w:rPr>
        <w:t>% соответственно</w:t>
      </w:r>
      <w:r w:rsidR="001D028E" w:rsidRPr="00133F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3F41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Безвозмездные поступления в структуре доходов </w:t>
      </w:r>
      <w:r w:rsidR="001D028E" w:rsidRPr="00133F41">
        <w:rPr>
          <w:rFonts w:ascii="Times New Roman" w:eastAsia="Times New Roman" w:hAnsi="Times New Roman" w:cs="Times New Roman"/>
          <w:sz w:val="24"/>
          <w:szCs w:val="24"/>
        </w:rPr>
        <w:t xml:space="preserve">планового периода </w:t>
      </w:r>
      <w:r w:rsidRPr="00133F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D028E" w:rsidRPr="00133F4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33F41">
        <w:rPr>
          <w:rFonts w:ascii="Times New Roman" w:eastAsia="Times New Roman" w:hAnsi="Times New Roman" w:cs="Times New Roman"/>
          <w:sz w:val="24"/>
          <w:szCs w:val="24"/>
        </w:rPr>
        <w:t xml:space="preserve"> составят 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22,0</w:t>
      </w:r>
      <w:r w:rsidRPr="00133F41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3A290A">
        <w:rPr>
          <w:rFonts w:ascii="Times New Roman" w:eastAsia="Times New Roman" w:hAnsi="Times New Roman" w:cs="Times New Roman"/>
          <w:sz w:val="24"/>
          <w:szCs w:val="24"/>
        </w:rPr>
        <w:t>22,3</w:t>
      </w:r>
      <w:r w:rsidRPr="00133F41">
        <w:rPr>
          <w:rFonts w:ascii="Times New Roman" w:eastAsia="Times New Roman" w:hAnsi="Times New Roman" w:cs="Times New Roman"/>
          <w:sz w:val="24"/>
          <w:szCs w:val="24"/>
        </w:rPr>
        <w:t>% соответственно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2708" w:rsidRPr="001724E9" w:rsidRDefault="006B2708" w:rsidP="0053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476">
        <w:rPr>
          <w:rFonts w:ascii="Times New Roman" w:eastAsia="Times New Roman" w:hAnsi="Times New Roman" w:cs="Times New Roman"/>
          <w:color w:val="C00000"/>
          <w:sz w:val="24"/>
          <w:szCs w:val="24"/>
        </w:rPr>
        <w:lastRenderedPageBreak/>
        <w:t> </w:t>
      </w:r>
      <w:r w:rsidRPr="001724E9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 бюджета на </w:t>
      </w:r>
      <w:r w:rsidR="00027915" w:rsidRPr="001724E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7489" w:rsidRPr="001724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прогнозируются в объеме </w:t>
      </w:r>
      <w:r w:rsidR="00F77489" w:rsidRPr="001724E9">
        <w:rPr>
          <w:rFonts w:ascii="Times New Roman" w:eastAsia="Times New Roman" w:hAnsi="Times New Roman" w:cs="Times New Roman"/>
          <w:sz w:val="24"/>
          <w:szCs w:val="24"/>
        </w:rPr>
        <w:t>1389,0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273DCF" w:rsidRPr="001724E9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за </w:t>
      </w:r>
      <w:r w:rsidR="00027915" w:rsidRPr="001724E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 xml:space="preserve">75,0 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>5,1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налоговых доходов к предшествующему году в </w:t>
      </w:r>
      <w:r w:rsidR="00027915" w:rsidRPr="001724E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741B7" w:rsidRPr="001724E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27915" w:rsidRPr="001724E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 годах  прогнозируется в размере </w:t>
      </w:r>
      <w:r w:rsidR="001A67DE" w:rsidRPr="00172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>-0,4</w:t>
      </w:r>
      <w:r w:rsidR="004F6AD6" w:rsidRPr="001724E9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>-0,4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6B2708" w:rsidRPr="001724E9" w:rsidRDefault="006B2708" w:rsidP="0053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налоговых доходов 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 xml:space="preserve">2025 года 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занимает земельный налог – 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>70,8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 xml:space="preserve">%, на втором месте по значимости налог на имущество физических лиц – </w:t>
      </w:r>
      <w:r w:rsidR="001724E9">
        <w:rPr>
          <w:rFonts w:ascii="Times New Roman" w:eastAsia="Times New Roman" w:hAnsi="Times New Roman" w:cs="Times New Roman"/>
          <w:sz w:val="24"/>
          <w:szCs w:val="24"/>
        </w:rPr>
        <w:t>14,8</w:t>
      </w:r>
      <w:r w:rsidRPr="001724E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B2708" w:rsidRPr="00933249" w:rsidRDefault="006B2708" w:rsidP="00530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E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Прогнозируемое поступление налоговых и неналоговых доходов бюджета в</w:t>
      </w:r>
      <w:r w:rsidRPr="00933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7915" w:rsidRPr="0093324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86A4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33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 периоде </w:t>
      </w:r>
      <w:r w:rsidR="00027915" w:rsidRPr="0093324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86A4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33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027915" w:rsidRPr="0093324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86A4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332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6B2708" w:rsidRPr="00933249" w:rsidRDefault="006B2708" w:rsidP="006B27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324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142476" w:rsidRPr="009332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3249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4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850"/>
        <w:gridCol w:w="850"/>
        <w:gridCol w:w="567"/>
        <w:gridCol w:w="785"/>
        <w:gridCol w:w="774"/>
        <w:gridCol w:w="708"/>
        <w:gridCol w:w="709"/>
        <w:gridCol w:w="709"/>
        <w:gridCol w:w="643"/>
        <w:gridCol w:w="708"/>
        <w:gridCol w:w="709"/>
      </w:tblGrid>
      <w:tr w:rsidR="00EA1185" w:rsidRPr="001223F6" w:rsidTr="00207561">
        <w:trPr>
          <w:trHeight w:val="58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933249" w:rsidRDefault="00EA1185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933249" w:rsidRDefault="00EA1185" w:rsidP="00C905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бюджета </w:t>
            </w:r>
            <w:r w:rsidR="00027915"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C90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933249" w:rsidRDefault="00EA1185" w:rsidP="00C905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027915"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C90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1185" w:rsidRPr="00933249" w:rsidRDefault="00EA1185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</w:p>
          <w:p w:rsidR="00EA1185" w:rsidRPr="00933249" w:rsidRDefault="00EA1185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тура, </w:t>
            </w:r>
          </w:p>
          <w:p w:rsidR="00EA1185" w:rsidRPr="00933249" w:rsidRDefault="00EA1185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554" w:rsidRPr="00933249" w:rsidRDefault="00EA1185" w:rsidP="00C6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A1185" w:rsidRPr="00933249" w:rsidRDefault="00027915" w:rsidP="00C905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C90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A1185"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C3" w:rsidRPr="00933249" w:rsidRDefault="00EA1185" w:rsidP="002869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EA1185" w:rsidRPr="00933249" w:rsidRDefault="00EA1185" w:rsidP="00C905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7915"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C90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933249" w:rsidRDefault="00EA1185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32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EA1185" w:rsidRPr="001223F6" w:rsidTr="00207561">
        <w:trPr>
          <w:trHeight w:val="25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EA1185" w:rsidRPr="001223F6" w:rsidRDefault="00EA1185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185" w:rsidRPr="001223F6" w:rsidRDefault="00EA1185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85" w:rsidRPr="001223F6" w:rsidRDefault="00EA1185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C9059D" w:rsidRPr="001223F6" w:rsidTr="00207561">
        <w:trPr>
          <w:trHeight w:val="67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59D" w:rsidRPr="001223F6" w:rsidRDefault="00C9059D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59D" w:rsidRPr="001223F6" w:rsidRDefault="00C9059D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59D" w:rsidRPr="001223F6" w:rsidRDefault="00C9059D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9059D" w:rsidRPr="001223F6" w:rsidRDefault="00C9059D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59D" w:rsidRPr="001223F6" w:rsidRDefault="00C9059D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59D" w:rsidRPr="001223F6" w:rsidRDefault="00C9059D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9D" w:rsidRPr="001223F6" w:rsidRDefault="00C9059D" w:rsidP="00C905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9D" w:rsidRPr="001223F6" w:rsidRDefault="00C9059D" w:rsidP="00C905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9D" w:rsidRPr="001223F6" w:rsidRDefault="00C9059D" w:rsidP="00C905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9D" w:rsidRPr="001223F6" w:rsidRDefault="00C9059D" w:rsidP="00EF2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9D" w:rsidRPr="001223F6" w:rsidRDefault="00C9059D" w:rsidP="00EF2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9D" w:rsidRPr="001223F6" w:rsidRDefault="00C9059D" w:rsidP="00EF2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DE64DA" w:rsidRPr="001223F6" w:rsidTr="00090B2B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4DA" w:rsidRPr="001223F6" w:rsidRDefault="00DE64DA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1384,0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99,6</w:t>
            </w:r>
          </w:p>
        </w:tc>
      </w:tr>
      <w:tr w:rsidR="00DE64DA" w:rsidRPr="001223F6" w:rsidTr="00090B2B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4DA" w:rsidRPr="001223F6" w:rsidRDefault="00DE64DA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DE64DA" w:rsidRPr="001223F6" w:rsidTr="00090B2B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4DA" w:rsidRPr="001223F6" w:rsidRDefault="00DE64DA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Единый </w:t>
            </w:r>
            <w:proofErr w:type="spell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</w:t>
            </w:r>
            <w:proofErr w:type="spellEnd"/>
          </w:p>
          <w:p w:rsidR="00DE64DA" w:rsidRPr="001223F6" w:rsidRDefault="00DE64DA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107,4</w:t>
            </w:r>
          </w:p>
        </w:tc>
      </w:tr>
      <w:tr w:rsidR="00DE64DA" w:rsidRPr="001223F6" w:rsidTr="00090B2B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4DA" w:rsidRPr="001223F6" w:rsidRDefault="00DE64DA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</w:tr>
      <w:tr w:rsidR="00DE64DA" w:rsidRPr="001223F6" w:rsidTr="00090B2B">
        <w:trPr>
          <w:trHeight w:val="51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4DA" w:rsidRPr="001223F6" w:rsidRDefault="00DE64DA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101,0</w:t>
            </w:r>
          </w:p>
        </w:tc>
      </w:tr>
      <w:tr w:rsidR="00BC6459" w:rsidRPr="001223F6" w:rsidTr="00090B2B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459" w:rsidRPr="001223F6" w:rsidRDefault="00BC6459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 w:rsidP="00EF2F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 w:rsidP="00EF2F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459" w:rsidRPr="00DE64DA" w:rsidRDefault="00BC6459" w:rsidP="00EF2F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E64DA" w:rsidRPr="001223F6" w:rsidTr="00090B2B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DA" w:rsidRPr="001223F6" w:rsidRDefault="00DE64DA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и перерасчеты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E64DA" w:rsidRPr="001223F6" w:rsidTr="00090B2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DA" w:rsidRPr="001223F6" w:rsidRDefault="00DE64DA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1960,8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BC64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C6459" w:rsidRPr="001223F6" w:rsidTr="00090B2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59" w:rsidRPr="001223F6" w:rsidRDefault="00BC6459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полученные в виде арендной платы за земельные участки, государственная собственность на которые не разграничена, средства от продажи права аренды указанных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 w:rsidP="00EF2F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 w:rsidP="00EF2F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 w:rsidP="00EF2F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E64DA" w:rsidRPr="001223F6" w:rsidTr="00090B2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DA" w:rsidRPr="001223F6" w:rsidRDefault="00DE64DA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DE64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DA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C6459" w:rsidRPr="001223F6" w:rsidTr="00090B2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59" w:rsidRPr="001223F6" w:rsidRDefault="00BC6459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59" w:rsidRPr="00DE64DA" w:rsidRDefault="00BC64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 w:rsidP="00EF2F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 w:rsidP="00EF2F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459" w:rsidRPr="00DE64DA" w:rsidRDefault="00BC6459" w:rsidP="00EF2F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B93D30" w:rsidRPr="00A0709F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EF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Pr="005200EF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доходы физических лиц</w:t>
      </w:r>
      <w:r w:rsidRPr="005200EF">
        <w:rPr>
          <w:rFonts w:ascii="Times New Roman" w:eastAsia="Times New Roman" w:hAnsi="Times New Roman" w:cs="Times New Roman"/>
          <w:sz w:val="24"/>
          <w:szCs w:val="24"/>
        </w:rPr>
        <w:t xml:space="preserve">  в бюджет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00EF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прогнозируется в сумме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125,0</w:t>
      </w:r>
      <w:r w:rsidRPr="005200E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13,0</w:t>
      </w:r>
      <w:r w:rsidRPr="005200E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11,6</w:t>
      </w:r>
      <w:r w:rsidRPr="005200E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D6881" w:rsidRPr="005200E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5200EF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200EF">
        <w:rPr>
          <w:rFonts w:ascii="Times New Roman" w:eastAsia="Times New Roman" w:hAnsi="Times New Roman" w:cs="Times New Roman"/>
          <w:sz w:val="24"/>
          <w:szCs w:val="24"/>
        </w:rPr>
        <w:t xml:space="preserve"> года. Расчет доходов бюджета по налогу на доходы физических лиц произведен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исходя из ожидаемой оценки поступления налога в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6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году, скорректированных на темпы роста фонда оплаты труда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, а так же норматива отчислений налога в бюджет. В структуре собственных доходов бюджета на долю налога на доходы физических лиц  в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9,0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налога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доходы физических лиц в 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16,0</w:t>
      </w:r>
      <w:r w:rsidR="00F0779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B93D30" w:rsidRPr="00A0709F" w:rsidRDefault="00B93D30" w:rsidP="00B93D30">
      <w:pPr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 сельскохозяйственного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налога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75,0</w:t>
      </w:r>
      <w:r w:rsidR="00C42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тыс. рублей, что</w:t>
      </w:r>
      <w:r w:rsidR="00C42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59644A">
        <w:rPr>
          <w:rFonts w:ascii="Times New Roman" w:eastAsia="Times New Roman" w:hAnsi="Times New Roman" w:cs="Times New Roman"/>
          <w:sz w:val="24"/>
          <w:szCs w:val="24"/>
        </w:rPr>
        <w:t xml:space="preserve"> показател</w:t>
      </w:r>
      <w:r w:rsidR="00C42F3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6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исполнения бюджета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2F3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44,2</w:t>
      </w:r>
      <w:r w:rsidR="00C42F34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Прогноз произведен на основании сведений налогового органа по единому сельскохозяйственному налогу за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норматива отчислений установленного </w:t>
      </w:r>
      <w:r w:rsidR="000D68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К РФ. В структуре собственных доходов бюджета на долю единого сельскохозяйственного налога в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5,4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%. Темп роста единого сельскохозяйственного налога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8,0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7,4</w:t>
      </w:r>
      <w:r w:rsidR="00C42F34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</w:t>
      </w:r>
      <w:r w:rsidRPr="00A0709F">
        <w:rPr>
          <w:rFonts w:ascii="Courier New" w:eastAsia="Times New Roman" w:hAnsi="Courier New" w:cs="Courier New"/>
          <w:sz w:val="24"/>
          <w:szCs w:val="24"/>
        </w:rPr>
        <w:t xml:space="preserve">  </w:t>
      </w:r>
    </w:p>
    <w:p w:rsidR="00B93D30" w:rsidRPr="00A0709F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имущество физических лиц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205,0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0D6881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42F3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2,5</w:t>
      </w:r>
      <w:r w:rsidR="00C42F34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. Прогноз произведен на основании сведений налогового органа по налогу на имущество физических лиц за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погашения задолженности прошлых лет.</w:t>
      </w:r>
      <w:proofErr w:type="gramEnd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бюджета на долю налога на имущество физических лиц в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4,8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налога на имущество физических лиц в 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7,8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-9,0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B93D30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поступлений по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земельному налогу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 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984,0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0D6881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</w:t>
      </w:r>
      <w:r w:rsidR="000D688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уровня исполнения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D68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D688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10,5</w:t>
      </w:r>
      <w:r w:rsidR="000D6881">
        <w:rPr>
          <w:rFonts w:ascii="Times New Roman" w:eastAsia="Times New Roman" w:hAnsi="Times New Roman" w:cs="Times New Roman"/>
          <w:sz w:val="24"/>
          <w:szCs w:val="24"/>
        </w:rPr>
        <w:t>%</w:t>
      </w:r>
      <w:r w:rsidR="00C61E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собственных доходов бюджета на долю земельного налога в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70,8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земельного налога в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-4,8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8471A2"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% соответственно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D4755" w:rsidRDefault="00B93D30" w:rsidP="00B93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EC8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 бюджета</w:t>
      </w:r>
      <w:r w:rsidRPr="00841EC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031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1EC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37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1B9" w:rsidRPr="00D031B9">
        <w:rPr>
          <w:rFonts w:ascii="Times New Roman" w:eastAsia="Times New Roman" w:hAnsi="Times New Roman" w:cs="Times New Roman"/>
          <w:sz w:val="24"/>
          <w:szCs w:val="24"/>
        </w:rPr>
        <w:t xml:space="preserve">прогнозируются в объеме </w:t>
      </w:r>
      <w:r w:rsidR="00D031B9">
        <w:rPr>
          <w:rFonts w:ascii="Times New Roman" w:eastAsia="Times New Roman" w:hAnsi="Times New Roman" w:cs="Times New Roman"/>
          <w:sz w:val="24"/>
          <w:szCs w:val="24"/>
        </w:rPr>
        <w:t>600,0</w:t>
      </w:r>
      <w:r w:rsidR="00D031B9" w:rsidRPr="00D031B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5D4755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D031B9" w:rsidRPr="00D031B9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за 2024 года </w:t>
      </w:r>
      <w:r w:rsidR="005D4755">
        <w:rPr>
          <w:rFonts w:ascii="Times New Roman" w:eastAsia="Times New Roman" w:hAnsi="Times New Roman" w:cs="Times New Roman"/>
          <w:sz w:val="24"/>
          <w:szCs w:val="24"/>
        </w:rPr>
        <w:t>в 19,6 раза</w:t>
      </w:r>
      <w:r w:rsidR="00D031B9" w:rsidRPr="00D031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4755">
        <w:rPr>
          <w:rFonts w:ascii="Times New Roman" w:eastAsia="Times New Roman" w:hAnsi="Times New Roman" w:cs="Times New Roman"/>
          <w:sz w:val="24"/>
          <w:szCs w:val="24"/>
        </w:rPr>
        <w:t>В 2025 году 100,0% в структуре неналоговых доходов занимают доходы от реализации собственности.</w:t>
      </w:r>
    </w:p>
    <w:p w:rsidR="005D4755" w:rsidRDefault="005D4755" w:rsidP="00B93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31B9" w:rsidRPr="00D031B9">
        <w:rPr>
          <w:rFonts w:ascii="Times New Roman" w:eastAsia="Times New Roman" w:hAnsi="Times New Roman" w:cs="Times New Roman"/>
          <w:sz w:val="24"/>
          <w:szCs w:val="24"/>
        </w:rPr>
        <w:t xml:space="preserve"> 2026 - 2027 годах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неналоговые доходы не </w:t>
      </w:r>
      <w:r w:rsidR="00D031B9" w:rsidRPr="00D031B9">
        <w:rPr>
          <w:rFonts w:ascii="Times New Roman" w:eastAsia="Times New Roman" w:hAnsi="Times New Roman" w:cs="Times New Roman"/>
          <w:sz w:val="24"/>
          <w:szCs w:val="24"/>
        </w:rPr>
        <w:t>прогнозиру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D031B9" w:rsidRPr="00D031B9">
        <w:rPr>
          <w:rFonts w:ascii="Times New Roman" w:eastAsia="Times New Roman" w:hAnsi="Times New Roman" w:cs="Times New Roman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6BAC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9D">
        <w:rPr>
          <w:rFonts w:ascii="Times New Roman" w:eastAsia="Times New Roman" w:hAnsi="Times New Roman" w:cs="Times New Roman"/>
          <w:b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39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полученные в виде арендной платы за земельные участки, государственная собственность на которые не разграничена, средства от продажи права аренды указанных участков</w:t>
      </w:r>
      <w:r w:rsidRPr="0025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BA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="009F6B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F25" w:rsidRDefault="00B93D30" w:rsidP="005F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B38E6">
        <w:rPr>
          <w:rFonts w:ascii="Times New Roman" w:eastAsia="Times New Roman" w:hAnsi="Times New Roman" w:cs="Times New Roman"/>
          <w:b/>
          <w:sz w:val="24"/>
          <w:szCs w:val="24"/>
        </w:rPr>
        <w:t>оход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DB38E6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продажи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материальных и нематериальных активов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417">
        <w:rPr>
          <w:rFonts w:ascii="Times New Roman" w:eastAsia="Times New Roman" w:hAnsi="Times New Roman" w:cs="Times New Roman"/>
          <w:sz w:val="24"/>
          <w:szCs w:val="24"/>
        </w:rPr>
        <w:t>не планируются</w:t>
      </w:r>
      <w:r w:rsidR="005F6F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30" w:rsidRPr="00C161F8" w:rsidRDefault="00B93D30" w:rsidP="00B93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D97">
        <w:rPr>
          <w:rFonts w:ascii="Times New Roman" w:eastAsia="Times New Roman" w:hAnsi="Times New Roman" w:cs="Times New Roman"/>
          <w:b/>
          <w:sz w:val="24"/>
          <w:szCs w:val="24"/>
        </w:rPr>
        <w:t>Прочие неналоговые доходы</w:t>
      </w:r>
      <w:r w:rsidRPr="00804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EC8" w:rsidRPr="00C161F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планируются. </w:t>
      </w:r>
    </w:p>
    <w:p w:rsidR="00B93D30" w:rsidRPr="00C161F8" w:rsidRDefault="00B93D30" w:rsidP="00B93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61F8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поступления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27915" w:rsidRPr="00C161F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планируются в сумме 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 xml:space="preserve">2295,3 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027915" w:rsidRPr="00C161F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104,3 т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ыс. рублей,  или </w:t>
      </w:r>
      <w:r w:rsidR="002F3DC2" w:rsidRPr="00C161F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4,8</w:t>
      </w:r>
      <w:r w:rsidR="002F3DC2" w:rsidRPr="00C161F8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6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</w:t>
      </w:r>
      <w:r w:rsidR="00027915" w:rsidRPr="00C161F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C16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в структуре доходов бюджета занимают 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53,6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безвозмездных поступлений в </w:t>
      </w:r>
      <w:r w:rsidR="003E757E" w:rsidRPr="00C161F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 w:rsidRPr="00C161F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 годах к предыдущему году составляет </w:t>
      </w:r>
      <w:r w:rsidR="00833922" w:rsidRPr="00C161F8">
        <w:rPr>
          <w:rFonts w:ascii="Times New Roman" w:eastAsia="Times New Roman" w:hAnsi="Times New Roman" w:cs="Times New Roman"/>
          <w:sz w:val="24"/>
          <w:szCs w:val="24"/>
        </w:rPr>
        <w:t>(-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83,0</w:t>
      </w:r>
      <w:r w:rsidR="00833922" w:rsidRPr="00C161F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C161F8">
        <w:rPr>
          <w:rFonts w:ascii="Times New Roman" w:eastAsia="Times New Roman" w:hAnsi="Times New Roman" w:cs="Times New Roman"/>
          <w:sz w:val="24"/>
          <w:szCs w:val="24"/>
        </w:rPr>
        <w:t>1,6</w:t>
      </w:r>
      <w:r w:rsidRPr="00C161F8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B93D30" w:rsidRPr="00833922" w:rsidRDefault="00B93D30" w:rsidP="00B93D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1F8">
        <w:rPr>
          <w:rFonts w:ascii="Times New Roman" w:hAnsi="Times New Roman" w:cs="Times New Roman"/>
          <w:b/>
          <w:bCs/>
          <w:sz w:val="24"/>
          <w:szCs w:val="24"/>
        </w:rPr>
        <w:t>Прогнозируемое поступление безвозмездных</w:t>
      </w:r>
      <w:r w:rsidRPr="00833922">
        <w:rPr>
          <w:rFonts w:ascii="Times New Roman" w:hAnsi="Times New Roman" w:cs="Times New Roman"/>
          <w:b/>
          <w:bCs/>
          <w:sz w:val="24"/>
          <w:szCs w:val="24"/>
        </w:rPr>
        <w:t xml:space="preserve"> поступлений</w:t>
      </w:r>
    </w:p>
    <w:p w:rsidR="00B93D30" w:rsidRPr="00833922" w:rsidRDefault="007C0D14" w:rsidP="007C0D14">
      <w:pPr>
        <w:tabs>
          <w:tab w:val="center" w:pos="5032"/>
          <w:tab w:val="left" w:pos="798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392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93D30" w:rsidRPr="0083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027915" w:rsidRPr="00833922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F2F5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93D30" w:rsidRPr="0083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 периоде </w:t>
      </w:r>
      <w:r w:rsidR="00027915" w:rsidRPr="00833922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F2F5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93D30" w:rsidRPr="0083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027915" w:rsidRPr="00833922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F441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93D30" w:rsidRPr="00833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  <w:r w:rsidRPr="0083392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B1365" w:rsidRPr="00833922" w:rsidRDefault="00B93D30" w:rsidP="00B93D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922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3D719C" w:rsidRPr="008339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3922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96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45"/>
        <w:gridCol w:w="633"/>
        <w:gridCol w:w="633"/>
        <w:gridCol w:w="824"/>
        <w:gridCol w:w="709"/>
        <w:gridCol w:w="709"/>
        <w:gridCol w:w="567"/>
        <w:gridCol w:w="567"/>
        <w:gridCol w:w="692"/>
        <w:gridCol w:w="708"/>
        <w:gridCol w:w="709"/>
      </w:tblGrid>
      <w:tr w:rsidR="00AD75A0" w:rsidRPr="00967271" w:rsidTr="00BD33A9">
        <w:trPr>
          <w:trHeight w:val="58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833922" w:rsidRDefault="00AD75A0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833922" w:rsidRDefault="00AD75A0" w:rsidP="004F44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</w:t>
            </w:r>
            <w:proofErr w:type="spellStart"/>
            <w:proofErr w:type="gramStart"/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бюд-жета</w:t>
            </w:r>
            <w:proofErr w:type="spellEnd"/>
            <w:proofErr w:type="gramEnd"/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27915"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F4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833922" w:rsidRDefault="00AD75A0" w:rsidP="004F44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27915"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F4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D75A0" w:rsidRPr="00833922" w:rsidRDefault="00AD75A0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</w:p>
          <w:p w:rsidR="00AD75A0" w:rsidRPr="00833922" w:rsidRDefault="00AD75A0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тура,</w:t>
            </w:r>
          </w:p>
          <w:p w:rsidR="00AD75A0" w:rsidRPr="00833922" w:rsidRDefault="00AD75A0" w:rsidP="005835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="0058358D"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  <w:t>%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833922" w:rsidRDefault="00AD75A0" w:rsidP="004F44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27915"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F4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833922" w:rsidRDefault="00AD75A0" w:rsidP="004F44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27915"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F4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833922" w:rsidRDefault="00AD75A0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Прирост (снижение) доходов, тыс. руб.</w:t>
            </w:r>
          </w:p>
        </w:tc>
        <w:tc>
          <w:tcPr>
            <w:tcW w:w="2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роста доходов, %</w:t>
            </w:r>
          </w:p>
        </w:tc>
      </w:tr>
      <w:tr w:rsidR="00AD75A0" w:rsidRPr="00967271" w:rsidTr="00BD33A9">
        <w:trPr>
          <w:trHeight w:val="25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left w:val="nil"/>
              <w:right w:val="single" w:sz="4" w:space="0" w:color="auto"/>
            </w:tcBorders>
          </w:tcPr>
          <w:p w:rsidR="00AD75A0" w:rsidRPr="00967271" w:rsidRDefault="00AD75A0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5A0" w:rsidRPr="00967271" w:rsidRDefault="00AD75A0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A0" w:rsidRPr="00967271" w:rsidRDefault="00AD75A0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</w:tr>
      <w:tr w:rsidR="004F441E" w:rsidRPr="00967271" w:rsidTr="00BD33A9">
        <w:trPr>
          <w:trHeight w:val="67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41E" w:rsidRPr="00967271" w:rsidRDefault="004F441E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41E" w:rsidRPr="00967271" w:rsidRDefault="004F441E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41E" w:rsidRPr="00967271" w:rsidRDefault="004F441E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F441E" w:rsidRPr="00967271" w:rsidRDefault="004F441E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41E" w:rsidRPr="00967271" w:rsidRDefault="004F441E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41E" w:rsidRPr="00967271" w:rsidRDefault="004F441E" w:rsidP="00530C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41E" w:rsidRPr="00967271" w:rsidRDefault="004F441E" w:rsidP="004F44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41E" w:rsidRPr="00967271" w:rsidRDefault="004F441E" w:rsidP="004F44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41E" w:rsidRPr="00967271" w:rsidRDefault="004F441E" w:rsidP="004F44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41E" w:rsidRPr="00967271" w:rsidRDefault="004F441E" w:rsidP="003657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41E" w:rsidRPr="00967271" w:rsidRDefault="004F441E" w:rsidP="003657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41E" w:rsidRPr="00967271" w:rsidRDefault="004F441E" w:rsidP="003657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3455E7" w:rsidRPr="00967271" w:rsidTr="00090B2B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E7" w:rsidRPr="00967271" w:rsidRDefault="003455E7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2191,0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2295,3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-1904,9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101,6</w:t>
            </w:r>
          </w:p>
        </w:tc>
      </w:tr>
      <w:tr w:rsidR="003455E7" w:rsidRPr="00967271" w:rsidTr="00090B2B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E7" w:rsidRPr="004133FC" w:rsidRDefault="003455E7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2139,0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3455E7" w:rsidRPr="00967271" w:rsidTr="00090B2B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E7" w:rsidRPr="004133FC" w:rsidRDefault="003455E7" w:rsidP="009E45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бюджетам субъектов РФ и муниципальных образований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ФЦП «Увековечение памяти погибших при защите Отечества на 2019-2025 годы»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D80E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D80E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455E7" w:rsidRPr="00967271" w:rsidTr="00090B2B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E7" w:rsidRPr="004133FC" w:rsidRDefault="003455E7" w:rsidP="00530C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E7" w:rsidRPr="003455E7" w:rsidRDefault="003455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55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103,6</w:t>
            </w:r>
          </w:p>
        </w:tc>
      </w:tr>
    </w:tbl>
    <w:p w:rsidR="00AB1365" w:rsidRPr="00D80E52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безвозмездных поступлений на </w:t>
      </w:r>
      <w:r w:rsidR="00027915" w:rsidRPr="00D80E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D80E5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занимают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 дотации бюджетам субъектов РФ и муниципальных образований – 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93,2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%. Дотации в бюджете </w:t>
      </w:r>
      <w:r w:rsidR="00027915" w:rsidRPr="00D80E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D80E5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а составляют 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2139,0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9413E6" w:rsidRPr="00D80E52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27915" w:rsidRPr="00D80E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 w:rsidRPr="00D80E5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644,0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на 43,1%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. Темп роста дотаций в </w:t>
      </w:r>
      <w:r w:rsidR="003E757E" w:rsidRPr="00D80E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 w:rsidRPr="00D80E5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 w:rsidRPr="00D80E5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FC2FE5" w:rsidRPr="00D80E5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13E6" w:rsidRPr="00D80E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89,8</w:t>
      </w:r>
      <w:r w:rsidR="00FC2FE5" w:rsidRPr="00D80E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AB1365" w:rsidRPr="00D80E52" w:rsidRDefault="00AB1365" w:rsidP="00AB1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Дотации предусмотрены </w:t>
      </w:r>
      <w:proofErr w:type="gramStart"/>
      <w:r w:rsidRPr="00D80E5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80E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1365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- выравнивание бюджетной обеспеченности в сумме 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>219,0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B1365" w:rsidRPr="00D80E52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- на поддержку мер по обеспечению сбалансированности бюджетов в сумме </w:t>
      </w:r>
      <w:r w:rsidR="00D80E52">
        <w:rPr>
          <w:rFonts w:ascii="Times New Roman" w:eastAsia="Times New Roman" w:hAnsi="Times New Roman" w:cs="Times New Roman"/>
          <w:sz w:val="24"/>
          <w:szCs w:val="24"/>
        </w:rPr>
        <w:t xml:space="preserve">1920,0 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AB1365" w:rsidRPr="0084106A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Субвенции в бюджете </w:t>
      </w:r>
      <w:r w:rsidR="00027915" w:rsidRPr="00D80E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D80E5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а составляют 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156,3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выше ожидаемого исполнения бюджета </w:t>
      </w:r>
      <w:r w:rsidR="00027915" w:rsidRPr="00D80E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651E6" w:rsidRPr="00D80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0B5" w:rsidRPr="00D80E5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18,3</w:t>
      </w:r>
      <w:r w:rsidR="002E50D9" w:rsidRPr="00D80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13,3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%. Удельный вес субвенций в структуре безвозмездных поступлений на </w:t>
      </w:r>
      <w:r w:rsidR="00027915" w:rsidRPr="00D80E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D80E5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6,8</w:t>
      </w:r>
      <w:r w:rsidRPr="00D80E52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субвенций в </w:t>
      </w:r>
      <w:r w:rsidR="003E757E" w:rsidRPr="00D80E5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 w:rsidRPr="00D80E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9,7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D12721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 Субвенции предусмотрены на осуществление первичного воинского учета на территориях, где отсутствуют военные комиссариаты. </w:t>
      </w:r>
    </w:p>
    <w:p w:rsidR="00AB1365" w:rsidRPr="00996B00" w:rsidRDefault="00AB1365" w:rsidP="00AB1365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B0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расходной части проекта бюджета</w:t>
      </w:r>
    </w:p>
    <w:p w:rsidR="00AB1365" w:rsidRPr="00C74C29" w:rsidRDefault="00AB1365" w:rsidP="00AB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C29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расходов, определенный в проекте решения </w:t>
      </w:r>
      <w:r w:rsidR="00882D9E" w:rsidRPr="00C74C2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27915" w:rsidRPr="00C74C2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74C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C74C2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82D9E" w:rsidRPr="00C74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C29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C74C29">
        <w:rPr>
          <w:rFonts w:ascii="Times New Roman" w:eastAsia="Times New Roman" w:hAnsi="Times New Roman" w:cs="Times New Roman"/>
          <w:sz w:val="24"/>
          <w:szCs w:val="24"/>
        </w:rPr>
        <w:t>4284,3</w:t>
      </w:r>
      <w:r w:rsidRPr="00C74C29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отношению к объему расходов, ожидаемому </w:t>
      </w:r>
      <w:r w:rsidR="00882D9E" w:rsidRPr="00C74C29">
        <w:rPr>
          <w:rFonts w:ascii="Times New Roman" w:eastAsia="Times New Roman" w:hAnsi="Times New Roman" w:cs="Times New Roman"/>
          <w:sz w:val="24"/>
          <w:szCs w:val="24"/>
        </w:rPr>
        <w:t xml:space="preserve">к исполнению </w:t>
      </w:r>
      <w:r w:rsidRPr="00C74C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4C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27915" w:rsidRPr="00C74C29"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 w:rsidR="00C74C29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901C11" w:rsidRPr="00C74C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4C29">
        <w:rPr>
          <w:rFonts w:ascii="Times New Roman" w:eastAsia="Times New Roman" w:hAnsi="Times New Roman" w:cs="Times New Roman"/>
          <w:spacing w:val="-2"/>
          <w:sz w:val="24"/>
          <w:szCs w:val="24"/>
        </w:rPr>
        <w:t>году расходы, определенные</w:t>
      </w:r>
      <w:r w:rsidRPr="00C74C29">
        <w:rPr>
          <w:rFonts w:ascii="Times New Roman" w:eastAsia="Times New Roman" w:hAnsi="Times New Roman" w:cs="Times New Roman"/>
          <w:sz w:val="24"/>
          <w:szCs w:val="24"/>
        </w:rPr>
        <w:t xml:space="preserve"> в проекте решения на </w:t>
      </w:r>
      <w:r w:rsidR="00027915" w:rsidRPr="00C74C2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74C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 w:rsidRPr="00C74C2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74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C29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ED3256" w:rsidRPr="00C74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C2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74C29">
        <w:rPr>
          <w:rFonts w:ascii="Times New Roman" w:eastAsia="Times New Roman" w:hAnsi="Times New Roman" w:cs="Times New Roman"/>
          <w:sz w:val="24"/>
          <w:szCs w:val="24"/>
        </w:rPr>
        <w:t>156,4</w:t>
      </w:r>
      <w:r w:rsidRPr="00C74C2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C74C29">
        <w:rPr>
          <w:rFonts w:ascii="Times New Roman" w:eastAsia="Times New Roman" w:hAnsi="Times New Roman" w:cs="Times New Roman"/>
          <w:sz w:val="24"/>
          <w:szCs w:val="24"/>
        </w:rPr>
        <w:t>3,8</w:t>
      </w:r>
      <w:r w:rsidRPr="00C74C29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820F11" w:rsidRPr="00343D38" w:rsidRDefault="00820F11" w:rsidP="00530C5C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4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расходов бюджета поселения за </w:t>
      </w:r>
      <w:r w:rsidR="00027915" w:rsidRPr="00C74C2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12721" w:rsidRPr="00C74C2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74C2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27915" w:rsidRPr="00C74C2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12721" w:rsidRPr="00C74C2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74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820F11" w:rsidRDefault="00820F11" w:rsidP="00820F11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4F5C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0D6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5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C521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33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567"/>
        <w:gridCol w:w="851"/>
        <w:gridCol w:w="629"/>
        <w:gridCol w:w="850"/>
        <w:gridCol w:w="567"/>
        <w:gridCol w:w="850"/>
        <w:gridCol w:w="567"/>
        <w:gridCol w:w="851"/>
        <w:gridCol w:w="567"/>
      </w:tblGrid>
      <w:tr w:rsidR="00820F11" w:rsidRPr="003322E5" w:rsidTr="005E5A95">
        <w:trPr>
          <w:trHeight w:val="99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proofErr w:type="spellEnd"/>
          </w:p>
          <w:p w:rsidR="00820F11" w:rsidRPr="003322E5" w:rsidRDefault="00820F11" w:rsidP="00713F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ние</w:t>
            </w:r>
            <w:proofErr w:type="spellEnd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13F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13F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13F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13F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13F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713F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13F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820F11" w:rsidRPr="003322E5" w:rsidTr="005E5A95">
        <w:trPr>
          <w:trHeight w:val="61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F11" w:rsidRPr="003322E5" w:rsidRDefault="00820F11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F11" w:rsidRPr="003322E5" w:rsidRDefault="00820F11" w:rsidP="00530C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11" w:rsidRPr="003322E5" w:rsidRDefault="00820F11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924D46" w:rsidRPr="003322E5" w:rsidTr="000748D3">
        <w:trPr>
          <w:trHeight w:val="5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2148,6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2554,0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74,4</w:t>
            </w:r>
          </w:p>
        </w:tc>
      </w:tr>
      <w:tr w:rsidR="00924D46" w:rsidRPr="003322E5" w:rsidTr="00090B2B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924D46" w:rsidRPr="003322E5" w:rsidTr="00AE7633">
        <w:trPr>
          <w:trHeight w:val="6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24D46" w:rsidRPr="003322E5" w:rsidTr="00090B2B">
        <w:trPr>
          <w:trHeight w:val="25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24D46" w:rsidRPr="003322E5" w:rsidTr="00090B2B">
        <w:trPr>
          <w:trHeight w:val="48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</w:tr>
      <w:tr w:rsidR="00924D46" w:rsidRPr="003322E5" w:rsidTr="00090B2B">
        <w:trPr>
          <w:trHeight w:val="2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924D46" w:rsidRPr="003322E5" w:rsidTr="00090B2B">
        <w:trPr>
          <w:trHeight w:val="2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46" w:rsidRPr="003322E5" w:rsidRDefault="00924D46" w:rsidP="00530C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46" w:rsidRPr="003322E5" w:rsidRDefault="00924D46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</w:tr>
      <w:tr w:rsidR="00924D46" w:rsidRPr="003322E5" w:rsidTr="00090B2B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D46" w:rsidRPr="003322E5" w:rsidRDefault="00924D46" w:rsidP="00530C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2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D46" w:rsidRPr="00924D46" w:rsidRDefault="00924D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4D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820F11" w:rsidRPr="003322E5" w:rsidRDefault="00820F11" w:rsidP="00820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направлением расходов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357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являются общегосударственные вопросы – 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lastRenderedPageBreak/>
        <w:t>59,6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72,1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74,4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 в структуре расходов соответственно. Второй по значимости раздел </w:t>
      </w:r>
      <w:r w:rsidR="00F95D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5357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5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DFF" w:rsidRPr="003322E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5781">
        <w:rPr>
          <w:rFonts w:ascii="Times New Roman" w:eastAsia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="00F95DFF" w:rsidRPr="003322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A2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49A">
        <w:rPr>
          <w:rFonts w:ascii="Times New Roman" w:eastAsia="Times New Roman" w:hAnsi="Times New Roman" w:cs="Times New Roman"/>
          <w:sz w:val="24"/>
          <w:szCs w:val="24"/>
        </w:rPr>
        <w:t xml:space="preserve">занимает 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24,5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FA5CF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35781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 </w:t>
      </w:r>
    </w:p>
    <w:p w:rsidR="00820F11" w:rsidRDefault="00820F11" w:rsidP="0082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E5">
        <w:rPr>
          <w:rFonts w:ascii="Times New Roman" w:eastAsia="Times New Roman" w:hAnsi="Times New Roman" w:cs="Times New Roman"/>
          <w:sz w:val="24"/>
          <w:szCs w:val="24"/>
        </w:rPr>
        <w:t>Наименьший удельный вес в проекте бюджета занимают расходы по  разделу 0</w:t>
      </w:r>
      <w:r w:rsidR="006D27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322E5">
        <w:rPr>
          <w:rFonts w:ascii="Times New Roman" w:eastAsia="Times New Roman" w:hAnsi="Times New Roman" w:cs="Times New Roman"/>
          <w:sz w:val="18"/>
          <w:szCs w:val="18"/>
        </w:rPr>
        <w:t xml:space="preserve">НАЦИОНАЛЬНАЯ </w:t>
      </w:r>
      <w:r w:rsidR="006D271E">
        <w:rPr>
          <w:rFonts w:ascii="Times New Roman" w:eastAsia="Times New Roman" w:hAnsi="Times New Roman" w:cs="Times New Roman"/>
          <w:sz w:val="18"/>
          <w:szCs w:val="18"/>
        </w:rPr>
        <w:t>ЗКОНОМИКА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», объем которых составляет </w:t>
      </w:r>
      <w:r w:rsidR="009D3ED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239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428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>асход</w:t>
      </w:r>
      <w:r w:rsidR="00AC428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 xml:space="preserve"> по отраслям так называемого «социального блока» (культура, социальная политика) в </w:t>
      </w:r>
      <w:r w:rsidR="00F95DFF">
        <w:rPr>
          <w:rFonts w:ascii="Times New Roman" w:eastAsia="Times New Roman" w:hAnsi="Times New Roman" w:cs="Times New Roman"/>
          <w:sz w:val="24"/>
          <w:szCs w:val="24"/>
        </w:rPr>
        <w:t>бюджете поселения не запланированы</w:t>
      </w:r>
      <w:r w:rsidRPr="003322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083" w:rsidRPr="00535781" w:rsidRDefault="00925083" w:rsidP="0092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5781">
        <w:rPr>
          <w:rFonts w:ascii="Times New Roman" w:eastAsia="Times New Roman" w:hAnsi="Times New Roman" w:cs="Times New Roman"/>
          <w:sz w:val="24"/>
          <w:szCs w:val="24"/>
        </w:rPr>
        <w:t>В соответствии с п. 3 ст. 184.1 Бюджетного кодекса РФ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535781">
        <w:rPr>
          <w:rFonts w:ascii="Times New Roman" w:eastAsia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925083" w:rsidRPr="00535781" w:rsidRDefault="00925083" w:rsidP="0092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781">
        <w:rPr>
          <w:rFonts w:ascii="Times New Roman" w:eastAsia="Times New Roman" w:hAnsi="Times New Roman" w:cs="Times New Roman"/>
          <w:sz w:val="24"/>
          <w:szCs w:val="24"/>
        </w:rPr>
        <w:t>Условно утверждаемые расходы на плановый период 202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35781">
        <w:rPr>
          <w:rFonts w:ascii="Times New Roman" w:eastAsia="Times New Roman" w:hAnsi="Times New Roman" w:cs="Times New Roman"/>
          <w:sz w:val="24"/>
          <w:szCs w:val="24"/>
        </w:rPr>
        <w:t xml:space="preserve">-202 годы утверждены, соответственно 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44,4</w:t>
      </w:r>
      <w:r w:rsidRPr="005357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88,9</w:t>
      </w:r>
      <w:r w:rsidRPr="0053578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2,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35781">
        <w:rPr>
          <w:rFonts w:ascii="Times New Roman" w:eastAsia="Times New Roman" w:hAnsi="Times New Roman" w:cs="Times New Roman"/>
          <w:sz w:val="24"/>
          <w:szCs w:val="24"/>
        </w:rPr>
        <w:t xml:space="preserve"> и 5,</w:t>
      </w:r>
      <w:r w:rsidR="00C7210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5781">
        <w:rPr>
          <w:rFonts w:ascii="Times New Roman" w:eastAsia="Times New Roman" w:hAnsi="Times New Roman" w:cs="Times New Roman"/>
          <w:sz w:val="24"/>
          <w:szCs w:val="24"/>
        </w:rPr>
        <w:t xml:space="preserve">%% </w:t>
      </w:r>
      <w:r w:rsidR="00535781">
        <w:rPr>
          <w:rFonts w:ascii="Times New Roman" w:eastAsia="Times New Roman" w:hAnsi="Times New Roman" w:cs="Times New Roman"/>
          <w:sz w:val="24"/>
          <w:szCs w:val="24"/>
        </w:rPr>
        <w:t>- ограничение соблюдено</w:t>
      </w:r>
      <w:r w:rsidRPr="005357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0F11" w:rsidRPr="00ED3B87" w:rsidRDefault="00535781" w:rsidP="00535781">
      <w:pPr>
        <w:tabs>
          <w:tab w:val="center" w:pos="5032"/>
          <w:tab w:val="left" w:pos="8477"/>
        </w:tabs>
        <w:overflowPunct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20F11" w:rsidRPr="00ED3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расходов бюджета поселения за </w:t>
      </w:r>
      <w:r w:rsidR="0002791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20F11" w:rsidRPr="00ED3B8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2791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0354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20F11" w:rsidRPr="00ED3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20F11" w:rsidRPr="00ED3B87" w:rsidRDefault="00820F11" w:rsidP="00820F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B8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761284" w:rsidRPr="00ED3B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3B87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Style w:val="af7"/>
        <w:tblW w:w="9425" w:type="dxa"/>
        <w:tblLayout w:type="fixed"/>
        <w:tblLook w:val="04A0" w:firstRow="1" w:lastRow="0" w:firstColumn="1" w:lastColumn="0" w:noHBand="0" w:noVBand="1"/>
      </w:tblPr>
      <w:tblGrid>
        <w:gridCol w:w="1809"/>
        <w:gridCol w:w="447"/>
        <w:gridCol w:w="752"/>
        <w:gridCol w:w="744"/>
        <w:gridCol w:w="739"/>
        <w:gridCol w:w="709"/>
        <w:gridCol w:w="11"/>
        <w:gridCol w:w="667"/>
        <w:gridCol w:w="11"/>
        <w:gridCol w:w="677"/>
        <w:gridCol w:w="11"/>
        <w:gridCol w:w="761"/>
        <w:gridCol w:w="670"/>
        <w:gridCol w:w="709"/>
        <w:gridCol w:w="708"/>
      </w:tblGrid>
      <w:tr w:rsidR="00C82A35" w:rsidRPr="00ED3B87" w:rsidTr="00F54B65">
        <w:tc>
          <w:tcPr>
            <w:tcW w:w="1809" w:type="dxa"/>
            <w:vMerge w:val="restart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разделов</w:t>
            </w:r>
          </w:p>
        </w:tc>
        <w:tc>
          <w:tcPr>
            <w:tcW w:w="447" w:type="dxa"/>
            <w:vMerge w:val="restart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</w:t>
            </w:r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752" w:type="dxa"/>
            <w:vMerge w:val="restart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нение</w:t>
            </w:r>
            <w:proofErr w:type="spellEnd"/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</w:t>
            </w:r>
            <w:proofErr w:type="spellEnd"/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жета</w:t>
            </w:r>
            <w:proofErr w:type="spellEnd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82A35" w:rsidRPr="003A3607" w:rsidRDefault="00027915" w:rsidP="00C0354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C0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C82A35"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44" w:type="dxa"/>
            <w:vMerge w:val="restart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7915"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C0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739" w:type="dxa"/>
            <w:vMerge w:val="restart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7915"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C0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709" w:type="dxa"/>
            <w:vMerge w:val="restart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27915"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C035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138" w:type="dxa"/>
            <w:gridSpan w:val="6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87" w:type="dxa"/>
            <w:gridSpan w:val="3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C82A35" w:rsidRPr="00ED3B87" w:rsidTr="00F54B65">
        <w:tc>
          <w:tcPr>
            <w:tcW w:w="1809" w:type="dxa"/>
            <w:vMerge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8" w:type="dxa"/>
            <w:gridSpan w:val="6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87" w:type="dxa"/>
            <w:gridSpan w:val="3"/>
          </w:tcPr>
          <w:p w:rsidR="00C82A35" w:rsidRPr="003A3607" w:rsidRDefault="00C82A35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C0354E" w:rsidRPr="00ED3B87" w:rsidTr="00F54B65">
        <w:tc>
          <w:tcPr>
            <w:tcW w:w="1809" w:type="dxa"/>
            <w:vMerge/>
          </w:tcPr>
          <w:p w:rsidR="00C0354E" w:rsidRPr="003A3607" w:rsidRDefault="00C0354E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C0354E" w:rsidRPr="003A3607" w:rsidRDefault="00C0354E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C0354E" w:rsidRPr="003A3607" w:rsidRDefault="00C0354E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C0354E" w:rsidRPr="003A3607" w:rsidRDefault="00C0354E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C0354E" w:rsidRPr="003A3607" w:rsidRDefault="00C0354E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0354E" w:rsidRPr="003A3607" w:rsidRDefault="00C0354E" w:rsidP="00530C5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C0354E" w:rsidRPr="003A3607" w:rsidRDefault="00C0354E" w:rsidP="00C0354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88" w:type="dxa"/>
            <w:gridSpan w:val="2"/>
          </w:tcPr>
          <w:p w:rsidR="00C0354E" w:rsidRPr="003A3607" w:rsidRDefault="00C0354E" w:rsidP="00C0354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gridSpan w:val="2"/>
          </w:tcPr>
          <w:p w:rsidR="00C0354E" w:rsidRPr="003A3607" w:rsidRDefault="00C0354E" w:rsidP="00C0354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70" w:type="dxa"/>
          </w:tcPr>
          <w:p w:rsidR="00C0354E" w:rsidRPr="003A3607" w:rsidRDefault="00C0354E" w:rsidP="003657B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0354E" w:rsidRPr="003A3607" w:rsidRDefault="00C0354E" w:rsidP="003657B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C0354E" w:rsidRPr="003A3607" w:rsidRDefault="00C0354E" w:rsidP="003657B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A7268" w:rsidRPr="00194ADD" w:rsidTr="00090B2B">
        <w:tc>
          <w:tcPr>
            <w:tcW w:w="1809" w:type="dxa"/>
          </w:tcPr>
          <w:p w:rsidR="001A7268" w:rsidRPr="00EE7144" w:rsidRDefault="001A7268" w:rsidP="00530C5C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7" w:type="dxa"/>
          </w:tcPr>
          <w:p w:rsidR="001A7268" w:rsidRPr="00B33007" w:rsidRDefault="001A7268" w:rsidP="00530C5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52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2148,6</w:t>
            </w:r>
          </w:p>
        </w:tc>
        <w:tc>
          <w:tcPr>
            <w:tcW w:w="744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2554,0</w:t>
            </w:r>
          </w:p>
        </w:tc>
        <w:tc>
          <w:tcPr>
            <w:tcW w:w="739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1280,0</w:t>
            </w:r>
          </w:p>
        </w:tc>
        <w:tc>
          <w:tcPr>
            <w:tcW w:w="720" w:type="dxa"/>
            <w:gridSpan w:val="2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1320,8</w:t>
            </w:r>
          </w:p>
        </w:tc>
        <w:tc>
          <w:tcPr>
            <w:tcW w:w="67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405,4</w:t>
            </w:r>
          </w:p>
        </w:tc>
        <w:tc>
          <w:tcPr>
            <w:tcW w:w="68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-1274,0</w:t>
            </w:r>
          </w:p>
        </w:tc>
        <w:tc>
          <w:tcPr>
            <w:tcW w:w="761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103,2</w:t>
            </w:r>
          </w:p>
        </w:tc>
      </w:tr>
      <w:tr w:rsidR="001A7268" w:rsidRPr="00194ADD" w:rsidTr="00090B2B">
        <w:tc>
          <w:tcPr>
            <w:tcW w:w="1809" w:type="dxa"/>
          </w:tcPr>
          <w:p w:rsidR="001A7268" w:rsidRPr="00EE7144" w:rsidRDefault="001A7268" w:rsidP="00530C5C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47" w:type="dxa"/>
          </w:tcPr>
          <w:p w:rsidR="001A7268" w:rsidRPr="00B33007" w:rsidRDefault="001A7268" w:rsidP="00530C5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52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744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739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720" w:type="dxa"/>
            <w:gridSpan w:val="2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67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68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761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</w:t>
            </w:r>
          </w:p>
        </w:tc>
      </w:tr>
      <w:tr w:rsidR="001A7268" w:rsidRPr="00194ADD" w:rsidTr="00090B2B">
        <w:tc>
          <w:tcPr>
            <w:tcW w:w="1809" w:type="dxa"/>
          </w:tcPr>
          <w:p w:rsidR="001A7268" w:rsidRPr="00EE7144" w:rsidRDefault="001A7268" w:rsidP="00530C5C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</w:tcPr>
          <w:p w:rsidR="001A7268" w:rsidRPr="00B33007" w:rsidRDefault="001A7268" w:rsidP="00530C5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52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716,0</w:t>
            </w:r>
          </w:p>
        </w:tc>
        <w:tc>
          <w:tcPr>
            <w:tcW w:w="744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739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334,0</w:t>
            </w:r>
          </w:p>
        </w:tc>
        <w:tc>
          <w:tcPr>
            <w:tcW w:w="68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-1050,0</w:t>
            </w:r>
          </w:p>
        </w:tc>
        <w:tc>
          <w:tcPr>
            <w:tcW w:w="761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1A7268" w:rsidRPr="001A7268" w:rsidRDefault="001F59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A7268" w:rsidRPr="00194ADD" w:rsidTr="00090B2B">
        <w:tc>
          <w:tcPr>
            <w:tcW w:w="1809" w:type="dxa"/>
          </w:tcPr>
          <w:p w:rsidR="001A7268" w:rsidRPr="00EE7144" w:rsidRDefault="001A7268" w:rsidP="00530C5C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47" w:type="dxa"/>
          </w:tcPr>
          <w:p w:rsidR="001A7268" w:rsidRPr="00B33007" w:rsidRDefault="001A7268" w:rsidP="00530C5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52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4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39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68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-5,0</w:t>
            </w:r>
          </w:p>
        </w:tc>
        <w:tc>
          <w:tcPr>
            <w:tcW w:w="761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1A7268" w:rsidRPr="001A7268" w:rsidRDefault="001F59C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1A7268" w:rsidRPr="001A7268" w:rsidRDefault="001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A7268" w:rsidRPr="00194ADD" w:rsidTr="00090B2B">
        <w:tc>
          <w:tcPr>
            <w:tcW w:w="1809" w:type="dxa"/>
          </w:tcPr>
          <w:p w:rsidR="001A7268" w:rsidRPr="00EE7144" w:rsidRDefault="001A7268" w:rsidP="00530C5C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7" w:type="dxa"/>
          </w:tcPr>
          <w:p w:rsidR="001A7268" w:rsidRPr="00B33007" w:rsidRDefault="001A7268" w:rsidP="00530C5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52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1125,3</w:t>
            </w:r>
          </w:p>
        </w:tc>
        <w:tc>
          <w:tcPr>
            <w:tcW w:w="744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</w:tc>
        <w:tc>
          <w:tcPr>
            <w:tcW w:w="739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720" w:type="dxa"/>
            <w:gridSpan w:val="2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277,2</w:t>
            </w:r>
          </w:p>
        </w:tc>
        <w:tc>
          <w:tcPr>
            <w:tcW w:w="67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-606,3</w:t>
            </w:r>
          </w:p>
        </w:tc>
        <w:tc>
          <w:tcPr>
            <w:tcW w:w="68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-196,0</w:t>
            </w:r>
          </w:p>
        </w:tc>
        <w:tc>
          <w:tcPr>
            <w:tcW w:w="761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-45,8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85,8</w:t>
            </w:r>
          </w:p>
        </w:tc>
      </w:tr>
      <w:tr w:rsidR="001A7268" w:rsidRPr="00194ADD" w:rsidTr="00090B2B">
        <w:tc>
          <w:tcPr>
            <w:tcW w:w="1809" w:type="dxa"/>
          </w:tcPr>
          <w:p w:rsidR="001A7268" w:rsidRPr="00EE7144" w:rsidRDefault="001A7268" w:rsidP="00530C5C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47" w:type="dxa"/>
          </w:tcPr>
          <w:p w:rsidR="001A7268" w:rsidRPr="00B33007" w:rsidRDefault="001A7268" w:rsidP="00530C5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52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44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39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0" w:type="dxa"/>
            <w:gridSpan w:val="2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67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1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1A7268" w:rsidRPr="00194ADD" w:rsidTr="00090B2B">
        <w:tc>
          <w:tcPr>
            <w:tcW w:w="1809" w:type="dxa"/>
          </w:tcPr>
          <w:p w:rsidR="001A7268" w:rsidRPr="00EE7144" w:rsidRDefault="001A7268" w:rsidP="00530C5C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УТВЕРЖДАЕМЫЕ РАСХОДЫ</w:t>
            </w:r>
          </w:p>
        </w:tc>
        <w:tc>
          <w:tcPr>
            <w:tcW w:w="447" w:type="dxa"/>
          </w:tcPr>
          <w:p w:rsidR="001A7268" w:rsidRPr="00B33007" w:rsidRDefault="001A7268" w:rsidP="00530C5C">
            <w:pPr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2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4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9" w:type="dxa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720" w:type="dxa"/>
            <w:gridSpan w:val="2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67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761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1A7268" w:rsidRPr="001A7268" w:rsidRDefault="001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1A7268" w:rsidRPr="001A7268" w:rsidRDefault="001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200,2</w:t>
            </w:r>
          </w:p>
        </w:tc>
      </w:tr>
      <w:tr w:rsidR="001A7268" w:rsidRPr="00194ADD" w:rsidTr="00090B2B">
        <w:tc>
          <w:tcPr>
            <w:tcW w:w="1809" w:type="dxa"/>
            <w:shd w:val="clear" w:color="auto" w:fill="DAEEF3" w:themeFill="accent5" w:themeFillTint="33"/>
          </w:tcPr>
          <w:p w:rsidR="001A7268" w:rsidRPr="00EE7144" w:rsidRDefault="001A7268" w:rsidP="00530C5C">
            <w:pPr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47" w:type="dxa"/>
            <w:shd w:val="clear" w:color="auto" w:fill="DAEEF3" w:themeFill="accent5" w:themeFillTint="33"/>
          </w:tcPr>
          <w:p w:rsidR="001A7268" w:rsidRPr="00B33007" w:rsidRDefault="001A7268" w:rsidP="00530C5C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4127,9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4284,3</w:t>
            </w:r>
          </w:p>
        </w:tc>
        <w:tc>
          <w:tcPr>
            <w:tcW w:w="739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1774,4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1775,6</w:t>
            </w:r>
          </w:p>
        </w:tc>
        <w:tc>
          <w:tcPr>
            <w:tcW w:w="67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688" w:type="dxa"/>
            <w:gridSpan w:val="2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-2509,9</w:t>
            </w:r>
          </w:p>
        </w:tc>
        <w:tc>
          <w:tcPr>
            <w:tcW w:w="761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1A7268" w:rsidRPr="001A7268" w:rsidRDefault="001A72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2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100,1</w:t>
            </w:r>
          </w:p>
        </w:tc>
      </w:tr>
    </w:tbl>
    <w:p w:rsidR="00C82A35" w:rsidRPr="00F34155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4155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01 «Общегосударственные вопросы»</w:t>
      </w:r>
      <w:r w:rsidRPr="00F3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F34155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2554,0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CD39C3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(405,4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)тыс. рублей, или 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18,9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F34155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1280,0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CD39C3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 (</w:t>
      </w:r>
      <w:r w:rsidR="0027054D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F0E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1274,0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тыс. рублей, или </w:t>
      </w:r>
      <w:r w:rsidR="00244882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>(-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49,9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F34155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415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7BE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 w:rsidRPr="00F34155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3657BE">
        <w:rPr>
          <w:rFonts w:ascii="Times New Roman" w:eastAsia="Times New Roman" w:hAnsi="Times New Roman" w:cs="Times New Roman"/>
          <w:sz w:val="24"/>
          <w:szCs w:val="24"/>
        </w:rPr>
        <w:t>1320,8</w:t>
      </w:r>
      <w:r w:rsidR="00C82A35" w:rsidRPr="00F34155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CF0E13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40,8</w:t>
      </w:r>
      <w:r w:rsidR="00CF0E13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CF0E13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3657BE">
        <w:rPr>
          <w:rFonts w:ascii="Times New Roman" w:eastAsia="Calibri" w:hAnsi="Times New Roman" w:cs="Times New Roman"/>
          <w:sz w:val="24"/>
          <w:szCs w:val="24"/>
          <w:lang w:eastAsia="en-US"/>
        </w:rPr>
        <w:t>3,2</w:t>
      </w:r>
      <w:r w:rsidR="00CF0E13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F34155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F34155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55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данного раздела в общих расходах составит  </w:t>
      </w:r>
      <w:r w:rsidR="003657BE">
        <w:rPr>
          <w:rFonts w:ascii="Times New Roman" w:eastAsia="Times New Roman" w:hAnsi="Times New Roman" w:cs="Times New Roman"/>
          <w:sz w:val="24"/>
          <w:szCs w:val="24"/>
        </w:rPr>
        <w:t>59,6</w:t>
      </w:r>
      <w:r w:rsidRPr="00F3415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F34155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55">
        <w:rPr>
          <w:rFonts w:ascii="Times New Roman" w:eastAsia="Times New Roman" w:hAnsi="Times New Roman" w:cs="Times New Roman"/>
          <w:sz w:val="24"/>
          <w:szCs w:val="24"/>
        </w:rPr>
        <w:t xml:space="preserve">Расходы данного раздела в </w:t>
      </w:r>
      <w:r w:rsidR="00027915" w:rsidRPr="00F3415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657B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34155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предусмотрены </w:t>
      </w:r>
      <w:proofErr w:type="gramStart"/>
      <w:r w:rsidRPr="00F3415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341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A35" w:rsidRPr="000B1907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5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F34155">
        <w:rPr>
          <w:rFonts w:ascii="Times New Roman" w:eastAsia="Times New Roman" w:hAnsi="Times New Roman" w:cs="Times New Roman"/>
          <w:b/>
          <w:sz w:val="24"/>
          <w:szCs w:val="24"/>
        </w:rPr>
        <w:t>подраздел 0104</w:t>
      </w:r>
      <w:r w:rsidRPr="00F34155">
        <w:rPr>
          <w:rFonts w:ascii="Times New Roman" w:eastAsia="Times New Roman" w:hAnsi="Times New Roman" w:cs="Times New Roman"/>
          <w:sz w:val="24"/>
          <w:szCs w:val="24"/>
        </w:rPr>
        <w:t xml:space="preserve"> «Функционирование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администраций» - обеспечение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сельской администрации в сумме </w:t>
      </w:r>
      <w:r w:rsidR="003657BE">
        <w:rPr>
          <w:rFonts w:ascii="Times New Roman" w:eastAsia="Times New Roman" w:hAnsi="Times New Roman" w:cs="Times New Roman"/>
          <w:sz w:val="24"/>
          <w:szCs w:val="24"/>
        </w:rPr>
        <w:t>2297,0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Pr="000B1907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5601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финансовых, налоговых и таможенных 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в сумме </w:t>
      </w:r>
      <w:r w:rsidR="003657BE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«Проведение обеспечения выборов и референдумов»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проведения выборов, референдумов в сумме </w:t>
      </w:r>
      <w:r w:rsidR="003657BE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2A35" w:rsidRPr="000B1907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0111 «Резервные фонды»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резервный фонд местной администрации в сумме 5,0 тыс. рублей;</w:t>
      </w:r>
    </w:p>
    <w:p w:rsidR="00C82A35" w:rsidRDefault="00C82A35" w:rsidP="00C8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5601">
        <w:rPr>
          <w:rFonts w:ascii="Times New Roman" w:eastAsia="Times New Roman" w:hAnsi="Times New Roman" w:cs="Times New Roman"/>
          <w:sz w:val="24"/>
          <w:szCs w:val="24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другие общегосударственные вопросы в сумме </w:t>
      </w:r>
      <w:r w:rsidR="00407B2F">
        <w:rPr>
          <w:rFonts w:ascii="Times New Roman" w:eastAsia="Times New Roman" w:hAnsi="Times New Roman" w:cs="Times New Roman"/>
          <w:sz w:val="24"/>
          <w:szCs w:val="24"/>
        </w:rPr>
        <w:t>250,0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02 «Национальная оборона»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156,3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BE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18,3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13,3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171,4</w:t>
      </w:r>
      <w:r w:rsidR="004C27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BE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075B8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5,1</w:t>
      </w:r>
      <w:r w:rsidR="00075B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ыс. рублей, или 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9,7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7B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7B2F">
        <w:rPr>
          <w:rFonts w:ascii="Times New Roman" w:eastAsia="Times New Roman" w:hAnsi="Times New Roman" w:cs="Times New Roman"/>
          <w:sz w:val="24"/>
          <w:szCs w:val="24"/>
        </w:rPr>
        <w:t>177,6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6,2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407B2F">
        <w:rPr>
          <w:rFonts w:ascii="Times New Roman" w:eastAsia="Calibri" w:hAnsi="Times New Roman" w:cs="Times New Roman"/>
          <w:sz w:val="24"/>
          <w:szCs w:val="24"/>
          <w:lang w:eastAsia="en-US"/>
        </w:rPr>
        <w:t>3,6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407B2F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FD6543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 предусмотрены на осуществление первичного воинского учета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543">
        <w:rPr>
          <w:rFonts w:ascii="Times New Roman" w:eastAsia="Times New Roman" w:hAnsi="Times New Roman" w:cs="Times New Roman"/>
          <w:sz w:val="24"/>
          <w:szCs w:val="24"/>
        </w:rPr>
        <w:t>по подразделу 0203 «Мобилизационная и вневойсковая подготовка».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03 «Национальная безопасность и правоохранительная деятельность»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D76E4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D76E4">
        <w:rPr>
          <w:rFonts w:ascii="Times New Roman" w:eastAsia="Calibri" w:hAnsi="Times New Roman" w:cs="Times New Roman"/>
          <w:sz w:val="24"/>
          <w:szCs w:val="24"/>
          <w:lang w:eastAsia="en-US"/>
        </w:rPr>
        <w:t>1050,0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BE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ED76E4">
        <w:rPr>
          <w:rFonts w:ascii="Times New Roman" w:eastAsia="Calibri" w:hAnsi="Times New Roman" w:cs="Times New Roman"/>
          <w:sz w:val="24"/>
          <w:szCs w:val="24"/>
          <w:lang w:eastAsia="en-US"/>
        </w:rPr>
        <w:t>334,0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075B88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ED76E4">
        <w:rPr>
          <w:rFonts w:ascii="Times New Roman" w:eastAsia="Calibri" w:hAnsi="Times New Roman" w:cs="Times New Roman"/>
          <w:sz w:val="24"/>
          <w:szCs w:val="24"/>
          <w:lang w:eastAsia="en-US"/>
        </w:rPr>
        <w:t>46,6</w:t>
      </w:r>
      <w:r w:rsidR="00075B8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D76E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D76E4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BE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>(-</w:t>
      </w:r>
      <w:r w:rsidR="00ED76E4">
        <w:rPr>
          <w:rFonts w:ascii="Times New Roman" w:eastAsia="Calibri" w:hAnsi="Times New Roman" w:cs="Times New Roman"/>
          <w:sz w:val="24"/>
          <w:szCs w:val="24"/>
          <w:lang w:eastAsia="en-US"/>
        </w:rPr>
        <w:t>1050,0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BE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075B88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ED76E4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075B8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D76E4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865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7FFB">
        <w:rPr>
          <w:rFonts w:ascii="Times New Roman" w:eastAsia="Times New Roman" w:hAnsi="Times New Roman" w:cs="Times New Roman"/>
          <w:sz w:val="24"/>
          <w:szCs w:val="24"/>
        </w:rPr>
        <w:t>,0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075B88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ED76E4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075B8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82A35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284256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EE7FFB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ED76E4">
        <w:rPr>
          <w:rFonts w:ascii="Times New Roman" w:eastAsia="Times New Roman" w:hAnsi="Times New Roman" w:cs="Times New Roman"/>
          <w:sz w:val="24"/>
          <w:szCs w:val="24"/>
        </w:rPr>
        <w:t>24,5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0B1907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предусмотрены на осуществление противопожарной безопасности.</w:t>
      </w:r>
    </w:p>
    <w:p w:rsidR="00C82A35" w:rsidRPr="001C1523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04 «Национальная экономика»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Расходы по  данному разделу в </w:t>
      </w:r>
      <w:r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проекте бюджета сельского поселения определены в следующих объемах:</w:t>
      </w:r>
    </w:p>
    <w:p w:rsidR="00C82A35" w:rsidRPr="001C1523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9637C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1C152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C2BD6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BE0656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 (</w:t>
      </w:r>
      <w:r w:rsidR="009637C0">
        <w:rPr>
          <w:rFonts w:ascii="Times New Roman" w:eastAsia="Calibri" w:hAnsi="Times New Roman" w:cs="Times New Roman"/>
          <w:sz w:val="24"/>
          <w:szCs w:val="24"/>
          <w:lang w:eastAsia="en-US"/>
        </w:rPr>
        <w:t>5,0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тыс. рублей, или </w:t>
      </w:r>
      <w:r w:rsidR="001C1523">
        <w:rPr>
          <w:rFonts w:ascii="Times New Roman" w:eastAsia="Calibri" w:hAnsi="Times New Roman" w:cs="Times New Roman"/>
          <w:sz w:val="24"/>
          <w:szCs w:val="24"/>
          <w:lang w:eastAsia="en-US"/>
        </w:rPr>
        <w:t>100,0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1C1523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– </w:t>
      </w:r>
      <w:r w:rsidR="009C2BD6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C82A35" w:rsidRPr="001C1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BE0656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 (</w:t>
      </w:r>
      <w:r w:rsidR="001C152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9637C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,0) тыс. рублей, или </w:t>
      </w:r>
      <w:r w:rsidR="009C2BD6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1C1523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52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02F10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 w:rsidRPr="001C152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9C2BD6" w:rsidRPr="001C15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82A35" w:rsidRPr="001C1523">
        <w:rPr>
          <w:rFonts w:ascii="Times New Roman" w:eastAsia="Times New Roman" w:hAnsi="Times New Roman" w:cs="Times New Roman"/>
          <w:sz w:val="24"/>
          <w:szCs w:val="24"/>
        </w:rPr>
        <w:t xml:space="preserve">,0 тыс. руб. </w:t>
      </w:r>
      <w:r w:rsidR="00C82A35" w:rsidRPr="001C1523">
        <w:rPr>
          <w:rFonts w:ascii="Times New Roman" w:eastAsia="Calibri" w:hAnsi="Times New Roman" w:cs="Times New Roman"/>
          <w:sz w:val="24"/>
          <w:szCs w:val="24"/>
          <w:lang w:eastAsia="en-US"/>
        </w:rPr>
        <w:t>(к предыдущему году 0,0 тыс. рублей, или 0,0%);</w:t>
      </w:r>
    </w:p>
    <w:p w:rsidR="00C82A35" w:rsidRPr="001C1523" w:rsidRDefault="00C82A35" w:rsidP="00B815F6">
      <w:pPr>
        <w:tabs>
          <w:tab w:val="left" w:pos="7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523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данного раздела в общих расходах составит  </w:t>
      </w:r>
      <w:r w:rsidR="0027054D" w:rsidRPr="001C152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02F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054D" w:rsidRPr="001C152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C15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15F6" w:rsidRPr="001C15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2A35" w:rsidRPr="000B1907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523">
        <w:rPr>
          <w:rFonts w:ascii="Times New Roman" w:eastAsia="Times New Roman" w:hAnsi="Times New Roman" w:cs="Times New Roman"/>
          <w:sz w:val="24"/>
          <w:szCs w:val="24"/>
        </w:rPr>
        <w:t xml:space="preserve"> Данные расходы запланированы по подразделу 04 12 «Другие вопросы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в области национальной экономики» и предусмотрены на  мероприятия по землеустройству и землепользованию. </w:t>
      </w:r>
    </w:p>
    <w:p w:rsidR="00C82A35" w:rsidRPr="00281997" w:rsidRDefault="00C82A3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05 «Жилищно-коммунальное хозяйство»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C82A35" w:rsidRPr="003525FD" w:rsidRDefault="00027915" w:rsidP="00C82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519,0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A9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(к предыдущему году</w:t>
      </w:r>
      <w:r w:rsidR="001D56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(-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60,3</w:t>
      </w:r>
      <w:r w:rsidR="001D56D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</w:t>
      </w:r>
      <w:r w:rsidR="001D56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637C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46,1</w:t>
      </w:r>
      <w:r w:rsidR="009637C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1D56DF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DF2BE0" w:rsidRPr="003525FD" w:rsidRDefault="00027915" w:rsidP="00DF2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82A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323,0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A93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2A35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5B0AFB">
        <w:rPr>
          <w:rFonts w:ascii="Times New Roman" w:eastAsia="Calibri" w:hAnsi="Times New Roman" w:cs="Times New Roman"/>
          <w:sz w:val="24"/>
          <w:szCs w:val="24"/>
          <w:lang w:eastAsia="en-US"/>
        </w:rPr>
        <w:t>(-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196,0</w:t>
      </w:r>
      <w:r w:rsidR="005B0AF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9637C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62,2</w:t>
      </w:r>
      <w:r w:rsidR="009637C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DF2BE0" w:rsidRPr="003525FD" w:rsidRDefault="00027915" w:rsidP="00DF2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02F10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2A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02F10">
        <w:rPr>
          <w:rFonts w:ascii="Times New Roman" w:eastAsia="Times New Roman" w:hAnsi="Times New Roman" w:cs="Times New Roman"/>
          <w:sz w:val="24"/>
          <w:szCs w:val="24"/>
        </w:rPr>
        <w:t>277,2</w:t>
      </w:r>
      <w:r w:rsidR="00C82A35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DF2BE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302F10">
        <w:rPr>
          <w:rFonts w:ascii="Times New Roman" w:eastAsia="Calibri" w:hAnsi="Times New Roman" w:cs="Times New Roman"/>
          <w:sz w:val="24"/>
          <w:szCs w:val="24"/>
          <w:lang w:eastAsia="en-US"/>
        </w:rPr>
        <w:t>-45,8</w:t>
      </w:r>
      <w:r w:rsidR="00DF2BE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F2BE0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9637C0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DF2BE0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C82A35" w:rsidRPr="003525FD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302F10">
        <w:rPr>
          <w:rFonts w:ascii="Times New Roman" w:eastAsia="Times New Roman" w:hAnsi="Times New Roman" w:cs="Times New Roman"/>
          <w:sz w:val="24"/>
          <w:szCs w:val="24"/>
        </w:rPr>
        <w:t>12,1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82A35" w:rsidRPr="003F2812" w:rsidRDefault="00C82A35" w:rsidP="00C8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  Данные расходы запланированы по подразделу 05 03 «Благоустройство» и предусмотрены </w:t>
      </w:r>
      <w:proofErr w:type="gramStart"/>
      <w:r w:rsidRPr="003F28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28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2A35" w:rsidRPr="003F2812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- организацию и обеспечение освещения улиц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F10">
        <w:rPr>
          <w:rFonts w:ascii="Times New Roman" w:eastAsia="Times New Roman" w:hAnsi="Times New Roman" w:cs="Times New Roman"/>
          <w:sz w:val="24"/>
          <w:szCs w:val="24"/>
        </w:rPr>
        <w:t>219,0</w:t>
      </w:r>
      <w:r w:rsidR="00F02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C82A35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и содержание мест захоронения – </w:t>
      </w:r>
      <w:r w:rsidR="00302F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557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F02A0B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93339" w:rsidRDefault="00C82A35" w:rsidP="00C8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- прочие мероприятия по благоустройству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F10">
        <w:rPr>
          <w:rFonts w:ascii="Times New Roman" w:eastAsia="Times New Roman" w:hAnsi="Times New Roman" w:cs="Times New Roman"/>
          <w:sz w:val="24"/>
          <w:szCs w:val="24"/>
        </w:rPr>
        <w:t>150,0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A933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1365" w:rsidRPr="003F2812" w:rsidRDefault="009E3364" w:rsidP="00C0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Главны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proofErr w:type="spellStart"/>
      <w:r w:rsidRPr="003F281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F6270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AB1365"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1365" w:rsidRPr="003F2812">
        <w:rPr>
          <w:rFonts w:ascii="Times New Roman" w:eastAsia="Times New Roman" w:hAnsi="Times New Roman" w:cs="Times New Roman"/>
          <w:sz w:val="24"/>
          <w:szCs w:val="24"/>
        </w:rPr>
        <w:t>Лопазненская</w:t>
      </w:r>
      <w:proofErr w:type="spellEnd"/>
      <w:r w:rsidR="00AB1365"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сельская администрация Суражского района.</w:t>
      </w:r>
    </w:p>
    <w:p w:rsidR="00AB1365" w:rsidRPr="00A75C65" w:rsidRDefault="00AB1365" w:rsidP="00AB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C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427D51" w:rsidRPr="00427D51" w:rsidRDefault="00AB1365" w:rsidP="00427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en-US"/>
        </w:rPr>
      </w:pPr>
      <w:r w:rsidRPr="00A75C65">
        <w:rPr>
          <w:rFonts w:ascii="Times New Roman" w:eastAsia="Times New Roman" w:hAnsi="Times New Roman" w:cs="Times New Roman"/>
          <w:sz w:val="24"/>
          <w:szCs w:val="24"/>
        </w:rPr>
        <w:t xml:space="preserve">Проектом бюджета </w:t>
      </w:r>
      <w:r w:rsidR="0051461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A75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650" w:rsidRPr="00A75C65">
        <w:rPr>
          <w:rFonts w:ascii="Times New Roman" w:eastAsia="Times New Roman" w:hAnsi="Times New Roman" w:cs="Times New Roman"/>
          <w:sz w:val="24"/>
          <w:szCs w:val="24"/>
        </w:rPr>
        <w:t xml:space="preserve">дефицит бюджета не </w:t>
      </w:r>
      <w:r w:rsidRPr="00A75C65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681650" w:rsidRPr="00A75C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7D51" w:rsidRPr="00A75C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приложением </w:t>
      </w:r>
      <w:r w:rsidR="00A75C65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="00427D51" w:rsidRPr="00A75C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проекту Решения запланирован единственный источник финансирования дефицита бюджета - изменение остатков</w:t>
      </w:r>
      <w:r w:rsidR="00427D51" w:rsidRPr="00427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средств на счете по учету средств бюджета в течени</w:t>
      </w:r>
      <w:proofErr w:type="gramStart"/>
      <w:r w:rsidR="00427D51" w:rsidRPr="00427D5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="00427D51" w:rsidRPr="00427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финансового года.</w:t>
      </w:r>
    </w:p>
    <w:p w:rsidR="00AB1365" w:rsidRPr="003A6DD1" w:rsidRDefault="00AB1365" w:rsidP="0053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B930A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Программная часть бюджета </w:t>
      </w:r>
      <w:proofErr w:type="spellStart"/>
      <w:r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>Лопазненского</w:t>
      </w:r>
      <w:proofErr w:type="spellEnd"/>
      <w:r w:rsidRPr="003A6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AB1365" w:rsidRPr="0031521B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2A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2A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A2A7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гг. сформирован по программно-целевому принципу, предусматривающему формирование расходов исходя из целей, установленных </w:t>
      </w:r>
      <w:r w:rsidR="0031521B" w:rsidRPr="0031521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AB1365" w:rsidRPr="0031521B" w:rsidRDefault="00AB1365" w:rsidP="00AB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31521B">
        <w:rPr>
          <w:rFonts w:ascii="Times New Roman" w:eastAsia="Times New Roman" w:hAnsi="Times New Roman" w:cs="Times New Roman"/>
          <w:sz w:val="24"/>
          <w:szCs w:val="24"/>
        </w:rPr>
        <w:t>Лопазненском</w:t>
      </w:r>
      <w:proofErr w:type="spellEnd"/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программы разрабатываются в соответствии с Порядком, утвержденным  Постановлением </w:t>
      </w:r>
      <w:proofErr w:type="spellStart"/>
      <w:r w:rsidRPr="0031521B">
        <w:rPr>
          <w:rFonts w:ascii="Times New Roman" w:eastAsia="Times New Roman" w:hAnsi="Times New Roman" w:cs="Times New Roman"/>
          <w:sz w:val="24"/>
          <w:szCs w:val="24"/>
        </w:rPr>
        <w:t>Лопазненской</w:t>
      </w:r>
      <w:proofErr w:type="spellEnd"/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 от 12.11.2014 года №149 «Об утверждении порядка разработки, реализации и оценки эффективности муниципальных программ </w:t>
      </w:r>
      <w:proofErr w:type="spellStart"/>
      <w:r w:rsidRPr="0031521B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(далее-Порядок).</w:t>
      </w:r>
      <w:r w:rsidR="00AA2A79">
        <w:rPr>
          <w:rFonts w:ascii="Times New Roman" w:eastAsia="Times New Roman" w:hAnsi="Times New Roman" w:cs="Times New Roman"/>
          <w:sz w:val="24"/>
          <w:szCs w:val="24"/>
        </w:rPr>
        <w:t xml:space="preserve"> Перечень программ поселения, </w:t>
      </w:r>
      <w:proofErr w:type="spellStart"/>
      <w:r w:rsidR="00AA2A79">
        <w:rPr>
          <w:rFonts w:ascii="Times New Roman" w:eastAsia="Times New Roman" w:hAnsi="Times New Roman" w:cs="Times New Roman"/>
          <w:sz w:val="24"/>
          <w:szCs w:val="24"/>
        </w:rPr>
        <w:t>включаемызх</w:t>
      </w:r>
      <w:proofErr w:type="spellEnd"/>
      <w:r w:rsidR="00AA2A79">
        <w:rPr>
          <w:rFonts w:ascii="Times New Roman" w:eastAsia="Times New Roman" w:hAnsi="Times New Roman" w:cs="Times New Roman"/>
          <w:sz w:val="24"/>
          <w:szCs w:val="24"/>
        </w:rPr>
        <w:t xml:space="preserve"> в бюджет 2025 года утвержден Постановлением от 18.11.2024г. №64. </w:t>
      </w:r>
    </w:p>
    <w:p w:rsidR="0031521B" w:rsidRPr="007F6806" w:rsidRDefault="00AB1365" w:rsidP="00AB1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06">
        <w:rPr>
          <w:rFonts w:ascii="Times New Roman" w:eastAsia="Times New Roman" w:hAnsi="Times New Roman" w:cs="Times New Roman"/>
          <w:sz w:val="24"/>
          <w:szCs w:val="24"/>
        </w:rPr>
        <w:t xml:space="preserve">В проект решения внесены </w:t>
      </w:r>
      <w:r w:rsidR="0031521B" w:rsidRPr="007F6806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7F6806">
        <w:rPr>
          <w:rFonts w:ascii="Times New Roman" w:eastAsia="Times New Roman" w:hAnsi="Times New Roman" w:cs="Times New Roman"/>
          <w:sz w:val="24"/>
          <w:szCs w:val="24"/>
        </w:rPr>
        <w:t>целевые программы</w:t>
      </w:r>
      <w:r w:rsidR="0031521B" w:rsidRPr="007F6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21B" w:rsidRPr="007F6806" w:rsidRDefault="00AB1365" w:rsidP="0031521B">
      <w:pPr>
        <w:pStyle w:val="af3"/>
        <w:numPr>
          <w:ilvl w:val="0"/>
          <w:numId w:val="2"/>
        </w:numPr>
        <w:jc w:val="both"/>
        <w:rPr>
          <w:sz w:val="24"/>
          <w:szCs w:val="24"/>
        </w:rPr>
      </w:pPr>
      <w:r w:rsidRPr="007F6806">
        <w:rPr>
          <w:sz w:val="24"/>
          <w:szCs w:val="24"/>
        </w:rPr>
        <w:t xml:space="preserve">«Реализация полномочий </w:t>
      </w:r>
      <w:proofErr w:type="spellStart"/>
      <w:r w:rsidRPr="007F6806">
        <w:rPr>
          <w:sz w:val="24"/>
          <w:szCs w:val="24"/>
        </w:rPr>
        <w:t>Лопазненского</w:t>
      </w:r>
      <w:proofErr w:type="spellEnd"/>
      <w:r w:rsidRPr="007F6806">
        <w:rPr>
          <w:sz w:val="24"/>
          <w:szCs w:val="24"/>
        </w:rPr>
        <w:t xml:space="preserve"> сельского поселения (</w:t>
      </w:r>
      <w:r w:rsidR="00027915">
        <w:rPr>
          <w:sz w:val="24"/>
          <w:szCs w:val="24"/>
        </w:rPr>
        <w:t>202</w:t>
      </w:r>
      <w:r w:rsidR="00AA2A79">
        <w:rPr>
          <w:sz w:val="24"/>
          <w:szCs w:val="24"/>
        </w:rPr>
        <w:t>5</w:t>
      </w:r>
      <w:r w:rsidRPr="007F6806">
        <w:rPr>
          <w:sz w:val="24"/>
          <w:szCs w:val="24"/>
        </w:rPr>
        <w:t xml:space="preserve"> - </w:t>
      </w:r>
      <w:r w:rsidR="00027915">
        <w:rPr>
          <w:sz w:val="24"/>
          <w:szCs w:val="24"/>
        </w:rPr>
        <w:t>202</w:t>
      </w:r>
      <w:r w:rsidR="00AA2A79">
        <w:rPr>
          <w:sz w:val="24"/>
          <w:szCs w:val="24"/>
        </w:rPr>
        <w:t>7</w:t>
      </w:r>
      <w:r w:rsidR="002C70B5">
        <w:rPr>
          <w:sz w:val="24"/>
          <w:szCs w:val="24"/>
        </w:rPr>
        <w:t xml:space="preserve"> год</w:t>
      </w:r>
      <w:r w:rsidRPr="007F6806">
        <w:rPr>
          <w:sz w:val="24"/>
          <w:szCs w:val="24"/>
        </w:rPr>
        <w:t>ы)»,</w:t>
      </w:r>
    </w:p>
    <w:p w:rsidR="0031521B" w:rsidRPr="007F6806" w:rsidRDefault="00AB1365" w:rsidP="0031521B">
      <w:pPr>
        <w:pStyle w:val="af3"/>
        <w:numPr>
          <w:ilvl w:val="0"/>
          <w:numId w:val="2"/>
        </w:numPr>
        <w:jc w:val="both"/>
        <w:rPr>
          <w:sz w:val="24"/>
          <w:szCs w:val="24"/>
        </w:rPr>
      </w:pPr>
      <w:r w:rsidRPr="007F6806">
        <w:rPr>
          <w:sz w:val="24"/>
          <w:szCs w:val="24"/>
        </w:rPr>
        <w:t xml:space="preserve">«Управление муниципальными финансами </w:t>
      </w:r>
      <w:proofErr w:type="spellStart"/>
      <w:r w:rsidRPr="007F6806">
        <w:rPr>
          <w:sz w:val="24"/>
          <w:szCs w:val="24"/>
        </w:rPr>
        <w:t>Лопазненского</w:t>
      </w:r>
      <w:proofErr w:type="spellEnd"/>
      <w:r w:rsidRPr="007F6806">
        <w:rPr>
          <w:sz w:val="24"/>
          <w:szCs w:val="24"/>
        </w:rPr>
        <w:t xml:space="preserve"> сельского поселения (</w:t>
      </w:r>
      <w:r w:rsidR="00027915">
        <w:rPr>
          <w:sz w:val="24"/>
          <w:szCs w:val="24"/>
        </w:rPr>
        <w:t>202</w:t>
      </w:r>
      <w:r w:rsidR="00AA2A79">
        <w:rPr>
          <w:sz w:val="24"/>
          <w:szCs w:val="24"/>
        </w:rPr>
        <w:t>5</w:t>
      </w:r>
      <w:r w:rsidRPr="007F6806">
        <w:rPr>
          <w:sz w:val="24"/>
          <w:szCs w:val="24"/>
        </w:rPr>
        <w:t xml:space="preserve"> - </w:t>
      </w:r>
      <w:r w:rsidR="00027915">
        <w:rPr>
          <w:sz w:val="24"/>
          <w:szCs w:val="24"/>
        </w:rPr>
        <w:t>202</w:t>
      </w:r>
      <w:r w:rsidR="00AA2A79">
        <w:rPr>
          <w:sz w:val="24"/>
          <w:szCs w:val="24"/>
        </w:rPr>
        <w:t>7</w:t>
      </w:r>
      <w:r w:rsidR="002C70B5">
        <w:rPr>
          <w:sz w:val="24"/>
          <w:szCs w:val="24"/>
        </w:rPr>
        <w:t xml:space="preserve"> год</w:t>
      </w:r>
      <w:r w:rsidRPr="007F6806">
        <w:rPr>
          <w:sz w:val="24"/>
          <w:szCs w:val="24"/>
        </w:rPr>
        <w:t>ы)»</w:t>
      </w:r>
    </w:p>
    <w:p w:rsidR="0031521B" w:rsidRPr="007F6806" w:rsidRDefault="00AB1365" w:rsidP="0031521B">
      <w:pPr>
        <w:pStyle w:val="af3"/>
        <w:numPr>
          <w:ilvl w:val="0"/>
          <w:numId w:val="2"/>
        </w:numPr>
        <w:jc w:val="both"/>
        <w:rPr>
          <w:sz w:val="24"/>
          <w:szCs w:val="24"/>
        </w:rPr>
      </w:pPr>
      <w:r w:rsidRPr="007F6806">
        <w:rPr>
          <w:sz w:val="24"/>
          <w:szCs w:val="24"/>
        </w:rPr>
        <w:t xml:space="preserve">«Обеспечение пожарной безопасности на территории </w:t>
      </w:r>
      <w:proofErr w:type="spellStart"/>
      <w:r w:rsidRPr="007F6806">
        <w:rPr>
          <w:sz w:val="24"/>
          <w:szCs w:val="24"/>
        </w:rPr>
        <w:t>Лопазненского</w:t>
      </w:r>
      <w:proofErr w:type="spellEnd"/>
      <w:r w:rsidRPr="007F6806">
        <w:rPr>
          <w:sz w:val="24"/>
          <w:szCs w:val="24"/>
        </w:rPr>
        <w:t xml:space="preserve"> сельского поселения на </w:t>
      </w:r>
      <w:r w:rsidR="00027915">
        <w:rPr>
          <w:sz w:val="24"/>
          <w:szCs w:val="24"/>
        </w:rPr>
        <w:t>202</w:t>
      </w:r>
      <w:r w:rsidR="00AA2A79">
        <w:rPr>
          <w:sz w:val="24"/>
          <w:szCs w:val="24"/>
        </w:rPr>
        <w:t>5</w:t>
      </w:r>
      <w:r w:rsidRPr="007F6806">
        <w:rPr>
          <w:sz w:val="24"/>
          <w:szCs w:val="24"/>
        </w:rPr>
        <w:t>-</w:t>
      </w:r>
      <w:r w:rsidR="00027915">
        <w:rPr>
          <w:sz w:val="24"/>
          <w:szCs w:val="24"/>
        </w:rPr>
        <w:t>202</w:t>
      </w:r>
      <w:r w:rsidR="00AA2A79">
        <w:rPr>
          <w:sz w:val="24"/>
          <w:szCs w:val="24"/>
        </w:rPr>
        <w:t>7</w:t>
      </w:r>
      <w:r w:rsidR="002C70B5">
        <w:rPr>
          <w:sz w:val="24"/>
          <w:szCs w:val="24"/>
        </w:rPr>
        <w:t xml:space="preserve"> год</w:t>
      </w:r>
      <w:r w:rsidRPr="007F6806">
        <w:rPr>
          <w:sz w:val="24"/>
          <w:szCs w:val="24"/>
        </w:rPr>
        <w:t xml:space="preserve">ы». </w:t>
      </w:r>
    </w:p>
    <w:p w:rsidR="00D77815" w:rsidRPr="00D77815" w:rsidRDefault="00AB1365" w:rsidP="00D7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071D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  <w:r w:rsidR="00C30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1365" w:rsidRPr="00DC36D3" w:rsidRDefault="002F24FB" w:rsidP="00D77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B1365" w:rsidRPr="00FD23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B1365" w:rsidRPr="00DC36D3">
        <w:rPr>
          <w:rFonts w:ascii="Times New Roman" w:eastAsia="Times New Roman" w:hAnsi="Times New Roman" w:cs="Times New Roman"/>
          <w:sz w:val="24"/>
          <w:szCs w:val="24"/>
        </w:rPr>
        <w:t xml:space="preserve">проекте  Решения расходы на реализацию целевых программ  в </w:t>
      </w:r>
      <w:r w:rsidR="00027915" w:rsidRPr="00DC36D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2A79" w:rsidRPr="00DC36D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2C70B5" w:rsidRPr="00DC36D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AB1365" w:rsidRPr="00DC36D3">
        <w:rPr>
          <w:rFonts w:ascii="Times New Roman" w:eastAsia="Times New Roman" w:hAnsi="Times New Roman" w:cs="Times New Roman"/>
          <w:sz w:val="24"/>
          <w:szCs w:val="24"/>
        </w:rPr>
        <w:t xml:space="preserve">у составляют </w:t>
      </w:r>
      <w:r w:rsidR="00AA2A79" w:rsidRPr="00DC36D3">
        <w:rPr>
          <w:rFonts w:ascii="Times New Roman" w:eastAsia="Times New Roman" w:hAnsi="Times New Roman" w:cs="Times New Roman"/>
          <w:sz w:val="24"/>
          <w:szCs w:val="24"/>
        </w:rPr>
        <w:t>4277,3</w:t>
      </w:r>
      <w:r w:rsidR="00AB1365" w:rsidRPr="00DC36D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  соответствует </w:t>
      </w:r>
      <w:r w:rsidR="007B3642" w:rsidRPr="00DC36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515ED" w:rsidRPr="00DC36D3">
        <w:rPr>
          <w:rFonts w:ascii="Times New Roman" w:eastAsia="Times New Roman" w:hAnsi="Times New Roman" w:cs="Times New Roman"/>
          <w:sz w:val="24"/>
          <w:szCs w:val="24"/>
        </w:rPr>
        <w:t>8,8</w:t>
      </w:r>
      <w:r w:rsidR="00AB1365" w:rsidRPr="00DC36D3">
        <w:rPr>
          <w:rFonts w:ascii="Times New Roman" w:eastAsia="Times New Roman" w:hAnsi="Times New Roman" w:cs="Times New Roman"/>
          <w:sz w:val="24"/>
          <w:szCs w:val="24"/>
        </w:rPr>
        <w:t xml:space="preserve">% объема расходов бюджета, что </w:t>
      </w:r>
      <w:r w:rsidR="00F27E0F" w:rsidRPr="00DC36D3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AB1365" w:rsidRPr="00DC36D3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27915" w:rsidRPr="00DC36D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0427A" w:rsidRPr="00DC36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70B5" w:rsidRPr="00DC36D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B1365" w:rsidRPr="00DC36D3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F27E0F" w:rsidRPr="00DC36D3">
        <w:rPr>
          <w:rFonts w:ascii="Times New Roman" w:eastAsia="Times New Roman" w:hAnsi="Times New Roman" w:cs="Times New Roman"/>
          <w:sz w:val="24"/>
          <w:szCs w:val="24"/>
        </w:rPr>
        <w:t>174,0</w:t>
      </w:r>
      <w:r w:rsidR="00AB1365" w:rsidRPr="00DC36D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F27E0F" w:rsidRPr="00DC36D3">
        <w:rPr>
          <w:rFonts w:ascii="Times New Roman" w:eastAsia="Times New Roman" w:hAnsi="Times New Roman" w:cs="Times New Roman"/>
          <w:sz w:val="24"/>
          <w:szCs w:val="24"/>
        </w:rPr>
        <w:t>4,2</w:t>
      </w:r>
      <w:r w:rsidR="00AB1365" w:rsidRPr="00DC36D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B1365" w:rsidRPr="00FD2382" w:rsidRDefault="00AB1365" w:rsidP="00F37E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6D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программной части проекта</w:t>
      </w:r>
      <w:r w:rsidRPr="00FD23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решения о бюджете</w:t>
      </w:r>
    </w:p>
    <w:p w:rsidR="00AB1365" w:rsidRPr="00496130" w:rsidRDefault="00AB1365" w:rsidP="00AB136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1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  <w:r w:rsidRPr="0049613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B003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96130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50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36"/>
        <w:gridCol w:w="1275"/>
        <w:gridCol w:w="1134"/>
        <w:gridCol w:w="1134"/>
        <w:gridCol w:w="993"/>
      </w:tblGrid>
      <w:tr w:rsidR="00AB1365" w:rsidRPr="00AB1365" w:rsidTr="00C30C55">
        <w:trPr>
          <w:trHeight w:val="102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</w:t>
            </w:r>
            <w:proofErr w:type="spellEnd"/>
          </w:p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мое  </w:t>
            </w:r>
            <w:proofErr w:type="spell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AB1365" w:rsidRPr="00AB1365" w:rsidRDefault="00AB1365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нение</w:t>
            </w:r>
            <w:proofErr w:type="spellEnd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B1365" w:rsidRPr="00AB1365" w:rsidRDefault="00027915" w:rsidP="00D0498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04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C7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D0498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 </w:t>
            </w:r>
            <w:r w:rsidR="00027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04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C7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65" w:rsidRPr="00AB1365" w:rsidRDefault="00AB1365" w:rsidP="00AB1365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AB1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E96B5A" w:rsidRPr="00AB1365" w:rsidTr="00514615">
        <w:trPr>
          <w:trHeight w:val="7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5A" w:rsidRPr="00AB1365" w:rsidRDefault="00E96B5A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5A" w:rsidRPr="00AB1365" w:rsidRDefault="00E96B5A" w:rsidP="00E163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полномочий органов местного самоуправления </w:t>
            </w:r>
            <w:proofErr w:type="spellStart"/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Лопазненского</w:t>
            </w:r>
            <w:proofErr w:type="spellEnd"/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FD2382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FD2382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E96B5A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E96B5A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E96B5A" w:rsidRPr="00AB1365" w:rsidTr="00514615">
        <w:trPr>
          <w:trHeight w:val="5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5A" w:rsidRPr="00AB1365" w:rsidRDefault="00E96B5A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5A" w:rsidRPr="00AB1365" w:rsidRDefault="00E96B5A" w:rsidP="00E163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Лопазненского</w:t>
            </w:r>
            <w:proofErr w:type="spellEnd"/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FD2382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FD2382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E96B5A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E96B5A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</w:tr>
      <w:tr w:rsidR="00E96B5A" w:rsidRPr="00AB1365" w:rsidTr="00514615">
        <w:trPr>
          <w:trHeight w:val="5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5A" w:rsidRPr="00AB1365" w:rsidRDefault="00E96B5A" w:rsidP="00AB13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B5A" w:rsidRPr="00AB1365" w:rsidRDefault="00E96B5A" w:rsidP="00E163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пожарной безопасности на территории </w:t>
            </w:r>
            <w:proofErr w:type="spellStart"/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Лопазненского</w:t>
            </w:r>
            <w:proofErr w:type="spellEnd"/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  <w:r w:rsidRPr="00AB1365"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FD2382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FD2382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E96B5A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E96B5A" w:rsidRDefault="00E96B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146,6</w:t>
            </w:r>
          </w:p>
        </w:tc>
      </w:tr>
      <w:tr w:rsidR="00E96B5A" w:rsidRPr="00AB1365" w:rsidTr="00514615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6B5A" w:rsidRPr="00AB1365" w:rsidRDefault="00E96B5A" w:rsidP="00AB13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6B5A" w:rsidRPr="00AB1365" w:rsidRDefault="00E96B5A" w:rsidP="00AB13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FD2382" w:rsidRDefault="00E96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FD2382" w:rsidRDefault="00E96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E96B5A" w:rsidRDefault="00E96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6B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B5A" w:rsidRPr="00E96B5A" w:rsidRDefault="00E96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6B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104,2</w:t>
            </w:r>
          </w:p>
        </w:tc>
      </w:tr>
    </w:tbl>
    <w:p w:rsidR="004C4C88" w:rsidRPr="00D77815" w:rsidRDefault="004C4C88" w:rsidP="004C4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CC6DC5" w:rsidRDefault="004C4C88" w:rsidP="005C40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расходы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C36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70B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в сумме </w:t>
      </w:r>
      <w:r w:rsidR="00DC36D3">
        <w:rPr>
          <w:rFonts w:ascii="Times New Roman" w:eastAsia="Times New Roman" w:hAnsi="Times New Roman" w:cs="Times New Roman"/>
          <w:sz w:val="24"/>
          <w:szCs w:val="24"/>
        </w:rPr>
        <w:t>7,0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BC55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DC36D3">
        <w:rPr>
          <w:rFonts w:ascii="Times New Roman" w:eastAsia="Times New Roman" w:hAnsi="Times New Roman" w:cs="Times New Roman"/>
          <w:sz w:val="24"/>
          <w:szCs w:val="24"/>
        </w:rPr>
        <w:t>0,2</w:t>
      </w:r>
      <w:r w:rsidR="00937CD9" w:rsidRPr="00937CD9">
        <w:rPr>
          <w:rFonts w:ascii="Times New Roman" w:eastAsia="Times New Roman" w:hAnsi="Times New Roman" w:cs="Times New Roman"/>
          <w:sz w:val="24"/>
          <w:szCs w:val="24"/>
        </w:rPr>
        <w:t>% от общей суммы расходов.</w:t>
      </w:r>
      <w:r w:rsidR="00BC554C">
        <w:rPr>
          <w:rFonts w:ascii="Times New Roman" w:eastAsia="Times New Roman" w:hAnsi="Times New Roman" w:cs="Times New Roman"/>
          <w:sz w:val="24"/>
          <w:szCs w:val="24"/>
        </w:rPr>
        <w:t xml:space="preserve"> Расходы предусмотрены на: резервный фонд поселения-5,0 тыс. рублей, </w:t>
      </w:r>
      <w:r w:rsidR="00DC36D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C554C">
        <w:rPr>
          <w:rFonts w:ascii="Times New Roman" w:eastAsia="Times New Roman" w:hAnsi="Times New Roman" w:cs="Times New Roman"/>
          <w:sz w:val="24"/>
          <w:szCs w:val="24"/>
        </w:rPr>
        <w:t xml:space="preserve">расходы по соглашению </w:t>
      </w:r>
      <w:r w:rsidR="00DC36D3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BC554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расходы на обеспечение выборов 0,0 тыс. рублей. </w:t>
      </w:r>
    </w:p>
    <w:p w:rsidR="00F37730" w:rsidRPr="00C262D2" w:rsidRDefault="00CC6DC5" w:rsidP="00CC6D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B1365" w:rsidRPr="00C262D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Выводы</w:t>
      </w:r>
    </w:p>
    <w:p w:rsidR="00953283" w:rsidRDefault="00953283" w:rsidP="00953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proofErr w:type="spellStart"/>
      <w:r w:rsidRPr="00C262D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внесен в Контрольно-счётную палату Суражского муниципального района 15.11.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2D2">
        <w:rPr>
          <w:rFonts w:ascii="Times New Roman" w:eastAsia="Times New Roman" w:hAnsi="Times New Roman" w:cs="Times New Roman"/>
          <w:sz w:val="24"/>
          <w:szCs w:val="24"/>
        </w:rPr>
        <w:t>г, что не противоречит  п. 1 ст. 185 Бюджетного кодекса РФ срока.</w:t>
      </w:r>
    </w:p>
    <w:p w:rsidR="00A04500" w:rsidRPr="00705F55" w:rsidRDefault="00A04500" w:rsidP="00A0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45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При изучении проекта Решения о бюджете на 2025 год и плановый период 2026-2027 годов и приложений к нему, установлено, что </w:t>
      </w:r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ст. 184.1 Бюджетного кодекса РФ приложения представлены не в полном объеме, а именно отсутствует:</w:t>
      </w:r>
    </w:p>
    <w:p w:rsidR="00A04500" w:rsidRPr="00705F55" w:rsidRDefault="00A04500" w:rsidP="00A0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>Овчинского</w:t>
      </w:r>
      <w:proofErr w:type="spellEnd"/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A04500" w:rsidRPr="00705F55" w:rsidRDefault="00A04500" w:rsidP="00A0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 приложение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>Овчинского</w:t>
      </w:r>
      <w:proofErr w:type="spellEnd"/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A04500" w:rsidRPr="00705F55" w:rsidRDefault="00A04500" w:rsidP="00A0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приложение№ 9 «Программа муниципальных гарантий </w:t>
      </w:r>
      <w:proofErr w:type="spellStart"/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>Овчинского</w:t>
      </w:r>
      <w:proofErr w:type="spellEnd"/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годов».</w:t>
      </w:r>
    </w:p>
    <w:p w:rsidR="00A04500" w:rsidRPr="00705F55" w:rsidRDefault="00A04500" w:rsidP="00A0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F55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</w:p>
    <w:p w:rsidR="00853AE0" w:rsidRPr="00D75809" w:rsidRDefault="00853AE0" w:rsidP="0018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809">
        <w:rPr>
          <w:rFonts w:ascii="Times New Roman" w:eastAsia="Times New Roman" w:hAnsi="Times New Roman" w:cs="Times New Roman"/>
          <w:sz w:val="24"/>
          <w:szCs w:val="24"/>
        </w:rPr>
        <w:t>В полной мере соблюдено т</w:t>
      </w:r>
      <w:r w:rsidR="001802D5" w:rsidRPr="00D75809">
        <w:rPr>
          <w:rFonts w:ascii="Times New Roman" w:eastAsia="Times New Roman" w:hAnsi="Times New Roman" w:cs="Times New Roman"/>
          <w:sz w:val="24"/>
          <w:szCs w:val="24"/>
        </w:rPr>
        <w:t>ребование ст. 184.2 Бюджетного Кодекса РФ, в части состава представляемых одновременно с проектом Решения</w:t>
      </w:r>
      <w:r w:rsidRPr="00D75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B41" w:rsidRPr="00D75809" w:rsidRDefault="00763B41" w:rsidP="00180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80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 w:rsidRPr="00D75809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D7580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027915" w:rsidRPr="00D7580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5809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</w:t>
      </w:r>
      <w:r w:rsidR="00027915" w:rsidRPr="00D7580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7580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E56BC" w:rsidRPr="00C262D2" w:rsidRDefault="000E56BC" w:rsidP="000E56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62D2">
        <w:rPr>
          <w:rFonts w:ascii="Times New Roman" w:hAnsi="Times New Roman"/>
          <w:sz w:val="24"/>
          <w:szCs w:val="24"/>
        </w:rPr>
        <w:t xml:space="preserve">В соответствии с п.3 ст. 173 Бюджетного кодекса Российской Федерации прогноз социально-экономического развития </w:t>
      </w:r>
      <w:proofErr w:type="spellStart"/>
      <w:r w:rsidRPr="00C262D2">
        <w:rPr>
          <w:rFonts w:ascii="Times New Roman" w:hAnsi="Times New Roman"/>
          <w:sz w:val="24"/>
          <w:szCs w:val="24"/>
        </w:rPr>
        <w:t>Лопазненского</w:t>
      </w:r>
      <w:proofErr w:type="spellEnd"/>
      <w:r w:rsidRPr="00C262D2">
        <w:rPr>
          <w:rFonts w:ascii="Times New Roman" w:hAnsi="Times New Roman"/>
          <w:sz w:val="24"/>
          <w:szCs w:val="24"/>
        </w:rPr>
        <w:t xml:space="preserve"> сельского поселения утвержден постановлением </w:t>
      </w:r>
      <w:proofErr w:type="spellStart"/>
      <w:r w:rsidRPr="00C262D2">
        <w:rPr>
          <w:rFonts w:ascii="Times New Roman" w:hAnsi="Times New Roman"/>
          <w:sz w:val="24"/>
          <w:szCs w:val="24"/>
        </w:rPr>
        <w:t>Лопазненской</w:t>
      </w:r>
      <w:proofErr w:type="spellEnd"/>
      <w:r w:rsidRPr="00C262D2">
        <w:rPr>
          <w:rFonts w:ascii="Times New Roman" w:hAnsi="Times New Roman"/>
          <w:sz w:val="24"/>
          <w:szCs w:val="24"/>
        </w:rPr>
        <w:t xml:space="preserve"> сельской администрации от 1</w:t>
      </w:r>
      <w:r w:rsidR="00B53EF3">
        <w:rPr>
          <w:rFonts w:ascii="Times New Roman" w:hAnsi="Times New Roman"/>
          <w:sz w:val="24"/>
          <w:szCs w:val="24"/>
        </w:rPr>
        <w:t>5</w:t>
      </w:r>
      <w:r w:rsidRPr="00C262D2">
        <w:rPr>
          <w:rFonts w:ascii="Times New Roman" w:hAnsi="Times New Roman"/>
          <w:sz w:val="24"/>
          <w:szCs w:val="24"/>
        </w:rPr>
        <w:t>.11.</w:t>
      </w:r>
      <w:r w:rsidR="00027915">
        <w:rPr>
          <w:rFonts w:ascii="Times New Roman" w:hAnsi="Times New Roman"/>
          <w:sz w:val="24"/>
          <w:szCs w:val="24"/>
        </w:rPr>
        <w:t>202</w:t>
      </w:r>
      <w:r w:rsidR="004B4D8F">
        <w:rPr>
          <w:rFonts w:ascii="Times New Roman" w:hAnsi="Times New Roman"/>
          <w:sz w:val="24"/>
          <w:szCs w:val="24"/>
        </w:rPr>
        <w:t>4</w:t>
      </w:r>
      <w:r w:rsidRPr="00C262D2">
        <w:rPr>
          <w:rFonts w:ascii="Times New Roman" w:hAnsi="Times New Roman"/>
          <w:sz w:val="24"/>
          <w:szCs w:val="24"/>
        </w:rPr>
        <w:t>г. №</w:t>
      </w:r>
      <w:r w:rsidR="00B53EF3">
        <w:rPr>
          <w:rFonts w:ascii="Times New Roman" w:hAnsi="Times New Roman"/>
          <w:sz w:val="24"/>
          <w:szCs w:val="24"/>
        </w:rPr>
        <w:t xml:space="preserve"> 6</w:t>
      </w:r>
      <w:r w:rsidR="004B4D8F">
        <w:rPr>
          <w:rFonts w:ascii="Times New Roman" w:hAnsi="Times New Roman"/>
          <w:sz w:val="24"/>
          <w:szCs w:val="24"/>
        </w:rPr>
        <w:t>6</w:t>
      </w:r>
      <w:r w:rsidRPr="00C262D2">
        <w:rPr>
          <w:rFonts w:ascii="Times New Roman" w:hAnsi="Times New Roman"/>
          <w:sz w:val="24"/>
          <w:szCs w:val="24"/>
        </w:rPr>
        <w:t>.</w:t>
      </w:r>
    </w:p>
    <w:p w:rsidR="00A83B8E" w:rsidRPr="00C262D2" w:rsidRDefault="00A83B8E" w:rsidP="00A8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C262D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62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 годы утверждены постановлением </w:t>
      </w:r>
      <w:proofErr w:type="spellStart"/>
      <w:r w:rsidRPr="00C262D2">
        <w:rPr>
          <w:rFonts w:ascii="Times New Roman" w:eastAsia="Times New Roman" w:hAnsi="Times New Roman" w:cs="Times New Roman"/>
          <w:sz w:val="24"/>
          <w:szCs w:val="24"/>
        </w:rPr>
        <w:t>Лопазненской</w:t>
      </w:r>
      <w:proofErr w:type="spellEnd"/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1</w:t>
      </w:r>
      <w:r w:rsidR="00090B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62D2">
        <w:rPr>
          <w:rFonts w:ascii="Times New Roman" w:eastAsia="Times New Roman" w:hAnsi="Times New Roman" w:cs="Times New Roman"/>
          <w:sz w:val="24"/>
          <w:szCs w:val="24"/>
        </w:rPr>
        <w:t>.11.2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. Основные направления бюджетной и налоговой политики </w:t>
      </w:r>
      <w:proofErr w:type="spellStart"/>
      <w:r w:rsidRPr="00C262D2">
        <w:rPr>
          <w:rFonts w:ascii="Times New Roman" w:eastAsia="Times New Roman" w:hAnsi="Times New Roman" w:cs="Times New Roman"/>
          <w:sz w:val="24"/>
          <w:szCs w:val="24"/>
        </w:rPr>
        <w:t>Лопазненского</w:t>
      </w:r>
      <w:proofErr w:type="spellEnd"/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</w:t>
      </w:r>
      <w:r w:rsidR="003611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62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 годы разработаны с учетом положений основных </w:t>
      </w:r>
      <w:hyperlink r:id="rId12" w:history="1">
        <w:r w:rsidRPr="00C262D2">
          <w:rPr>
            <w:rFonts w:ascii="Times New Roman" w:eastAsia="Times New Roman" w:hAnsi="Times New Roman" w:cs="Times New Roman"/>
            <w:sz w:val="24"/>
            <w:szCs w:val="24"/>
          </w:rPr>
          <w:t>направлений</w:t>
        </w:r>
      </w:hyperlink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 бюджетной и налоговой политики Российской Федерации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62D2">
        <w:rPr>
          <w:rFonts w:ascii="Times New Roman" w:eastAsia="Times New Roman" w:hAnsi="Times New Roman" w:cs="Times New Roman"/>
          <w:sz w:val="24"/>
          <w:szCs w:val="24"/>
        </w:rPr>
        <w:t xml:space="preserve"> год, Послания Президента РФ Федеральному Собранию РФ.</w:t>
      </w:r>
    </w:p>
    <w:p w:rsidR="00A83B8E" w:rsidRDefault="00A83B8E" w:rsidP="007C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4E2A6E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4E2A6E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0E2E28" w:rsidRPr="00514494" w:rsidRDefault="000E2E28" w:rsidP="000E2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бюджета  предусмотрен в сумме 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4284,3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010C5D" w:rsidRPr="00514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027915" w:rsidRPr="0051449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598,7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010C5D" w:rsidRPr="005144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6,2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7554AB" w:rsidRPr="00514494" w:rsidRDefault="007554AB" w:rsidP="0075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    Проектом бюджета </w:t>
      </w:r>
      <w:r w:rsidR="00514615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не предусмотрен. </w:t>
      </w:r>
      <w:r w:rsidRPr="005144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приложением </w:t>
      </w:r>
      <w:r w:rsidR="001F2A00" w:rsidRPr="00514494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5144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проекту Решения запланирован единственный источник финансирования дефицита бюджета - изменение остатков средств на счете</w:t>
      </w:r>
      <w:r w:rsidR="00010C5D" w:rsidRPr="0051449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5144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учету средств бюджета в течени</w:t>
      </w:r>
      <w:r w:rsidR="00361153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5144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финансового года.</w:t>
      </w:r>
    </w:p>
    <w:p w:rsidR="000E2E28" w:rsidRPr="00514494" w:rsidRDefault="000E2E28" w:rsidP="000E2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027915" w:rsidRPr="0051449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 в сумме 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4284,3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156,4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4B4D8F">
        <w:rPr>
          <w:rFonts w:ascii="Times New Roman" w:eastAsia="Times New Roman" w:hAnsi="Times New Roman" w:cs="Times New Roman"/>
          <w:sz w:val="24"/>
          <w:szCs w:val="24"/>
        </w:rPr>
        <w:t>3,8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855AE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027915" w:rsidRPr="0051449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55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14494">
        <w:rPr>
          <w:rFonts w:ascii="Times New Roman" w:eastAsia="Times New Roman" w:hAnsi="Times New Roman" w:cs="Times New Roman"/>
          <w:sz w:val="24"/>
          <w:szCs w:val="24"/>
        </w:rPr>
        <w:t xml:space="preserve"> года. Дефицит бюджета предусмотрен в сумме 0,0 тыс. рублей.  </w:t>
      </w:r>
    </w:p>
    <w:p w:rsidR="009E65C1" w:rsidRPr="009E65C1" w:rsidRDefault="009E65C1" w:rsidP="009E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494">
        <w:rPr>
          <w:rFonts w:ascii="Times New Roman" w:eastAsia="Times New Roman" w:hAnsi="Times New Roman" w:cs="Times New Roman"/>
          <w:sz w:val="24"/>
          <w:szCs w:val="24"/>
        </w:rPr>
        <w:t>В соответствии с п. 3 ст. 184.1 Бюджетного кодекса РФ общий объем условно утверждаемых</w:t>
      </w:r>
      <w:r w:rsidRPr="009E65C1">
        <w:rPr>
          <w:rFonts w:ascii="Times New Roman" w:eastAsia="Times New Roman" w:hAnsi="Times New Roman" w:cs="Times New Roman"/>
          <w:sz w:val="24"/>
          <w:szCs w:val="24"/>
        </w:rPr>
        <w:t xml:space="preserve">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9E65C1">
        <w:rPr>
          <w:rFonts w:ascii="Times New Roman" w:eastAsia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9E65C1" w:rsidRPr="009E65C1" w:rsidRDefault="009E65C1" w:rsidP="009E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5C1">
        <w:rPr>
          <w:rFonts w:ascii="Times New Roman" w:eastAsia="Times New Roman" w:hAnsi="Times New Roman" w:cs="Times New Roman"/>
          <w:sz w:val="24"/>
          <w:szCs w:val="24"/>
        </w:rPr>
        <w:t>Условно утверждаемые расходы на плановый период 202</w:t>
      </w:r>
      <w:r w:rsidR="0036115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65C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611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E65C1">
        <w:rPr>
          <w:rFonts w:ascii="Times New Roman" w:eastAsia="Times New Roman" w:hAnsi="Times New Roman" w:cs="Times New Roman"/>
          <w:sz w:val="24"/>
          <w:szCs w:val="24"/>
        </w:rPr>
        <w:t xml:space="preserve"> годы утверждены, соответственно </w:t>
      </w:r>
      <w:r w:rsidR="000855AE">
        <w:rPr>
          <w:rFonts w:ascii="Times New Roman" w:eastAsia="Times New Roman" w:hAnsi="Times New Roman" w:cs="Times New Roman"/>
          <w:sz w:val="24"/>
          <w:szCs w:val="24"/>
        </w:rPr>
        <w:t>44,4</w:t>
      </w:r>
      <w:r w:rsidRPr="009E65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855AE">
        <w:rPr>
          <w:rFonts w:ascii="Times New Roman" w:eastAsia="Times New Roman" w:hAnsi="Times New Roman" w:cs="Times New Roman"/>
          <w:sz w:val="24"/>
          <w:szCs w:val="24"/>
        </w:rPr>
        <w:t>88,9</w:t>
      </w:r>
      <w:r w:rsidRPr="009E65C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2,6 и 5,3%% от суммы общей расходов. </w:t>
      </w:r>
      <w:r w:rsidR="00361153">
        <w:rPr>
          <w:rFonts w:ascii="Times New Roman" w:eastAsia="Times New Roman" w:hAnsi="Times New Roman" w:cs="Times New Roman"/>
          <w:sz w:val="24"/>
          <w:szCs w:val="24"/>
        </w:rPr>
        <w:t>Условия п.  ст. 184.1 соблюдены.</w:t>
      </w:r>
    </w:p>
    <w:p w:rsidR="00063CAF" w:rsidRDefault="00063CAF" w:rsidP="009E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 бюджета на </w:t>
      </w:r>
      <w:r w:rsidR="000279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55A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55AE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757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855A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521B">
        <w:rPr>
          <w:rFonts w:ascii="Times New Roman" w:eastAsia="Times New Roman" w:hAnsi="Times New Roman" w:cs="Times New Roman"/>
          <w:sz w:val="24"/>
          <w:szCs w:val="24"/>
        </w:rPr>
        <w:t xml:space="preserve">гг. сформирован по программно-целевому принципу, предусматривающему формирование расходов исходя из целей, установленных 3 муниципальными программами. </w:t>
      </w:r>
    </w:p>
    <w:p w:rsidR="00063CAF" w:rsidRPr="00D77815" w:rsidRDefault="00063CAF" w:rsidP="0006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071D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005DAC" w:rsidRDefault="000855AE" w:rsidP="000855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0855AE">
        <w:rPr>
          <w:rFonts w:ascii="Times New Roman" w:eastAsia="Times New Roman" w:hAnsi="Times New Roman" w:cs="Times New Roman"/>
          <w:sz w:val="24"/>
          <w:szCs w:val="24"/>
        </w:rPr>
        <w:t>В проекте  Решения расходы на реализацию целевых программ  в 2025 году составляют 4277,3 тыс. рублей, что  соответствует 98,8% объема расходов бюджета, что выше ожидаемого исполнения бюджета 2024 года на 174,0 тыс. рублей, или на 4,2%.</w:t>
      </w:r>
      <w:r w:rsidR="00DD2E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3F8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4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93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855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D2E9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855AE">
        <w:rPr>
          <w:rFonts w:ascii="Times New Roman" w:eastAsia="Times New Roman" w:hAnsi="Times New Roman" w:cs="Times New Roman"/>
          <w:sz w:val="24"/>
          <w:szCs w:val="24"/>
        </w:rPr>
        <w:t>Непрограммные расходы на 2025 год предусмотрены в сумме 7,0 тыс. рублей, или 0,2% от общей суммы расходов.</w:t>
      </w:r>
      <w:proofErr w:type="gramEnd"/>
      <w:r w:rsidRPr="000855AE">
        <w:rPr>
          <w:rFonts w:ascii="Times New Roman" w:eastAsia="Times New Roman" w:hAnsi="Times New Roman" w:cs="Times New Roman"/>
          <w:sz w:val="24"/>
          <w:szCs w:val="24"/>
        </w:rPr>
        <w:t xml:space="preserve"> Расходы предусмотрены на: резервный фонд поселения-5,0 тыс. рублей, и расходы по соглашению 2,0 тыс. рублей, расходы на обеспечение выборов 0,0 тыс. рублей. </w:t>
      </w:r>
    </w:p>
    <w:p w:rsidR="00AB7A4D" w:rsidRPr="00AB1365" w:rsidRDefault="00382894" w:rsidP="000855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A35E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ПРЕДЛОЖЕНИЯ:</w:t>
      </w:r>
    </w:p>
    <w:p w:rsidR="00AB393A" w:rsidRDefault="00AB1365" w:rsidP="00AB1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4C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Контрольно-счетная палата Суражского муниципального района предлагает </w:t>
      </w:r>
      <w:proofErr w:type="spellStart"/>
      <w:r w:rsidRPr="002254C9">
        <w:rPr>
          <w:rFonts w:ascii="Times New Roman" w:eastAsia="Times New Roman" w:hAnsi="Times New Roman" w:cs="Times New Roman"/>
          <w:bCs/>
          <w:sz w:val="24"/>
          <w:szCs w:val="24"/>
        </w:rPr>
        <w:t>Лопазненскому</w:t>
      </w:r>
      <w:proofErr w:type="spellEnd"/>
      <w:r w:rsidRPr="002254C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сельскому Совету народных  депутатов проект решения </w:t>
      </w:r>
      <w:r w:rsidR="002254C9" w:rsidRPr="00D91728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2254C9" w:rsidRPr="00D91728">
        <w:rPr>
          <w:rFonts w:ascii="Times New Roman" w:eastAsia="Times New Roman" w:hAnsi="Times New Roman" w:cs="Times New Roman"/>
          <w:bCs/>
          <w:sz w:val="24"/>
          <w:szCs w:val="24"/>
        </w:rPr>
        <w:t>Лопазненского</w:t>
      </w:r>
      <w:proofErr w:type="spellEnd"/>
      <w:r w:rsidR="002254C9" w:rsidRPr="00D917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Суражского муниципального района Брянской области» </w:t>
      </w:r>
      <w:r w:rsidR="00514615">
        <w:rPr>
          <w:rFonts w:ascii="Times New Roman" w:eastAsia="Times New Roman" w:hAnsi="Times New Roman" w:cs="Times New Roman"/>
          <w:bCs/>
          <w:sz w:val="24"/>
          <w:szCs w:val="24"/>
        </w:rPr>
        <w:t>на 2025 год и на плановый период 2026 и 2027 годов</w:t>
      </w:r>
      <w:r w:rsidR="002254C9" w:rsidRPr="00D9172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254C9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рассмотрению</w:t>
      </w:r>
      <w:r w:rsidR="00AB39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62BD5" w:rsidRDefault="00C62BD5" w:rsidP="004F2A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AC8" w:rsidRPr="000D138E" w:rsidRDefault="004F2AC8" w:rsidP="004F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Председатель</w:t>
      </w:r>
    </w:p>
    <w:p w:rsidR="004F2AC8" w:rsidRPr="000D138E" w:rsidRDefault="004F2AC8" w:rsidP="004F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палаты</w:t>
      </w:r>
    </w:p>
    <w:p w:rsidR="00950AD3" w:rsidRPr="000D138E" w:rsidRDefault="004F2AC8" w:rsidP="00D41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>Суражского муниципального района</w:t>
      </w:r>
      <w:r w:rsidRPr="000D138E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0D138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D138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           Н. В. Жидкова</w:t>
      </w:r>
      <w:r w:rsidRPr="000D1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sectPr w:rsidR="00950AD3" w:rsidRPr="000D138E" w:rsidSect="00554A6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11" w:rsidRDefault="00C50F11" w:rsidP="009E65C1">
      <w:pPr>
        <w:spacing w:after="0" w:line="240" w:lineRule="auto"/>
      </w:pPr>
      <w:r>
        <w:separator/>
      </w:r>
    </w:p>
  </w:endnote>
  <w:endnote w:type="continuationSeparator" w:id="0">
    <w:p w:rsidR="00C50F11" w:rsidRDefault="00C50F11" w:rsidP="009E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11" w:rsidRDefault="00C50F11" w:rsidP="009E65C1">
      <w:pPr>
        <w:spacing w:after="0" w:line="240" w:lineRule="auto"/>
      </w:pPr>
      <w:r>
        <w:separator/>
      </w:r>
    </w:p>
  </w:footnote>
  <w:footnote w:type="continuationSeparator" w:id="0">
    <w:p w:rsidR="00C50F11" w:rsidRDefault="00C50F11" w:rsidP="009E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F9B"/>
    <w:multiLevelType w:val="hybridMultilevel"/>
    <w:tmpl w:val="1C22919A"/>
    <w:lvl w:ilvl="0" w:tplc="59929618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43A5FD2"/>
    <w:multiLevelType w:val="hybridMultilevel"/>
    <w:tmpl w:val="9E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D625E"/>
    <w:multiLevelType w:val="hybridMultilevel"/>
    <w:tmpl w:val="A63E0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22D1"/>
    <w:multiLevelType w:val="hybridMultilevel"/>
    <w:tmpl w:val="89DC3B40"/>
    <w:lvl w:ilvl="0" w:tplc="897000DE">
      <w:start w:val="1"/>
      <w:numFmt w:val="decimalZero"/>
      <w:lvlText w:val="%1-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D327C9"/>
    <w:multiLevelType w:val="hybridMultilevel"/>
    <w:tmpl w:val="B9547B34"/>
    <w:lvl w:ilvl="0" w:tplc="52A288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E0E64"/>
    <w:multiLevelType w:val="hybridMultilevel"/>
    <w:tmpl w:val="9B0A36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F972B5"/>
    <w:multiLevelType w:val="hybridMultilevel"/>
    <w:tmpl w:val="12D6FA66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1365"/>
    <w:rsid w:val="0000272D"/>
    <w:rsid w:val="00005DAC"/>
    <w:rsid w:val="00010C5D"/>
    <w:rsid w:val="00021626"/>
    <w:rsid w:val="00025EAF"/>
    <w:rsid w:val="00027915"/>
    <w:rsid w:val="000307AE"/>
    <w:rsid w:val="00034919"/>
    <w:rsid w:val="0003654E"/>
    <w:rsid w:val="00036AE8"/>
    <w:rsid w:val="00037F78"/>
    <w:rsid w:val="0004076D"/>
    <w:rsid w:val="00044366"/>
    <w:rsid w:val="00044819"/>
    <w:rsid w:val="00050D97"/>
    <w:rsid w:val="00057801"/>
    <w:rsid w:val="0006393A"/>
    <w:rsid w:val="00063CAF"/>
    <w:rsid w:val="0006468E"/>
    <w:rsid w:val="000650CA"/>
    <w:rsid w:val="0006672F"/>
    <w:rsid w:val="00067B51"/>
    <w:rsid w:val="000725A7"/>
    <w:rsid w:val="000727CC"/>
    <w:rsid w:val="0007473A"/>
    <w:rsid w:val="000748D3"/>
    <w:rsid w:val="00075159"/>
    <w:rsid w:val="00075B88"/>
    <w:rsid w:val="00075C3A"/>
    <w:rsid w:val="00077683"/>
    <w:rsid w:val="000822CE"/>
    <w:rsid w:val="000855AE"/>
    <w:rsid w:val="000866E3"/>
    <w:rsid w:val="00086E75"/>
    <w:rsid w:val="00087AC7"/>
    <w:rsid w:val="00090B2B"/>
    <w:rsid w:val="00093CFE"/>
    <w:rsid w:val="000A2851"/>
    <w:rsid w:val="000A374A"/>
    <w:rsid w:val="000A5833"/>
    <w:rsid w:val="000A67EC"/>
    <w:rsid w:val="000B1907"/>
    <w:rsid w:val="000B5F68"/>
    <w:rsid w:val="000B6E96"/>
    <w:rsid w:val="000C5C21"/>
    <w:rsid w:val="000D09CA"/>
    <w:rsid w:val="000D138E"/>
    <w:rsid w:val="000D41F5"/>
    <w:rsid w:val="000D5402"/>
    <w:rsid w:val="000D6538"/>
    <w:rsid w:val="000D6881"/>
    <w:rsid w:val="000E2888"/>
    <w:rsid w:val="000E2E28"/>
    <w:rsid w:val="000E3844"/>
    <w:rsid w:val="000E5414"/>
    <w:rsid w:val="000E56BC"/>
    <w:rsid w:val="000F5B8E"/>
    <w:rsid w:val="00103C9F"/>
    <w:rsid w:val="00106E0F"/>
    <w:rsid w:val="00111F17"/>
    <w:rsid w:val="001135E4"/>
    <w:rsid w:val="00113913"/>
    <w:rsid w:val="00113DDC"/>
    <w:rsid w:val="00115A4C"/>
    <w:rsid w:val="00116200"/>
    <w:rsid w:val="00117522"/>
    <w:rsid w:val="00120AB7"/>
    <w:rsid w:val="00120BCF"/>
    <w:rsid w:val="00124DE6"/>
    <w:rsid w:val="00133F41"/>
    <w:rsid w:val="00136366"/>
    <w:rsid w:val="00137417"/>
    <w:rsid w:val="00137DEA"/>
    <w:rsid w:val="00142476"/>
    <w:rsid w:val="001430F8"/>
    <w:rsid w:val="00143BCB"/>
    <w:rsid w:val="001501AD"/>
    <w:rsid w:val="0015033B"/>
    <w:rsid w:val="001525B0"/>
    <w:rsid w:val="00161D4D"/>
    <w:rsid w:val="0016202F"/>
    <w:rsid w:val="00166E59"/>
    <w:rsid w:val="001724E9"/>
    <w:rsid w:val="00176D1D"/>
    <w:rsid w:val="001802D5"/>
    <w:rsid w:val="00182EF1"/>
    <w:rsid w:val="001832C8"/>
    <w:rsid w:val="001855B0"/>
    <w:rsid w:val="00186C4E"/>
    <w:rsid w:val="00187E23"/>
    <w:rsid w:val="00190672"/>
    <w:rsid w:val="00194ADD"/>
    <w:rsid w:val="001968A4"/>
    <w:rsid w:val="001A46C9"/>
    <w:rsid w:val="001A5577"/>
    <w:rsid w:val="001A67DE"/>
    <w:rsid w:val="001A7268"/>
    <w:rsid w:val="001C1523"/>
    <w:rsid w:val="001C4D97"/>
    <w:rsid w:val="001C6F47"/>
    <w:rsid w:val="001D028E"/>
    <w:rsid w:val="001D56DF"/>
    <w:rsid w:val="001D6E3A"/>
    <w:rsid w:val="001E0902"/>
    <w:rsid w:val="001F2A00"/>
    <w:rsid w:val="001F2ABE"/>
    <w:rsid w:val="001F59C2"/>
    <w:rsid w:val="001F6BC5"/>
    <w:rsid w:val="0020221B"/>
    <w:rsid w:val="00202EFC"/>
    <w:rsid w:val="00203290"/>
    <w:rsid w:val="00203F30"/>
    <w:rsid w:val="00207561"/>
    <w:rsid w:val="002078DF"/>
    <w:rsid w:val="002114CC"/>
    <w:rsid w:val="00214760"/>
    <w:rsid w:val="002170D1"/>
    <w:rsid w:val="00217D05"/>
    <w:rsid w:val="00221CA9"/>
    <w:rsid w:val="00223D44"/>
    <w:rsid w:val="002248A5"/>
    <w:rsid w:val="00224BD3"/>
    <w:rsid w:val="002254C9"/>
    <w:rsid w:val="00225BF2"/>
    <w:rsid w:val="00230477"/>
    <w:rsid w:val="00230665"/>
    <w:rsid w:val="00230CAB"/>
    <w:rsid w:val="00237296"/>
    <w:rsid w:val="00237644"/>
    <w:rsid w:val="002423CC"/>
    <w:rsid w:val="002435D1"/>
    <w:rsid w:val="002446E6"/>
    <w:rsid w:val="00244882"/>
    <w:rsid w:val="00246968"/>
    <w:rsid w:val="0027054D"/>
    <w:rsid w:val="00273DCF"/>
    <w:rsid w:val="0027470D"/>
    <w:rsid w:val="0028233F"/>
    <w:rsid w:val="00284256"/>
    <w:rsid w:val="00284AAF"/>
    <w:rsid w:val="002860C0"/>
    <w:rsid w:val="0028695B"/>
    <w:rsid w:val="00286A47"/>
    <w:rsid w:val="00287505"/>
    <w:rsid w:val="002A032E"/>
    <w:rsid w:val="002A0603"/>
    <w:rsid w:val="002A06CB"/>
    <w:rsid w:val="002A0E31"/>
    <w:rsid w:val="002A4247"/>
    <w:rsid w:val="002A4D62"/>
    <w:rsid w:val="002B107D"/>
    <w:rsid w:val="002B4E8E"/>
    <w:rsid w:val="002B7C0A"/>
    <w:rsid w:val="002C1D14"/>
    <w:rsid w:val="002C51C4"/>
    <w:rsid w:val="002C6524"/>
    <w:rsid w:val="002C70B5"/>
    <w:rsid w:val="002D0493"/>
    <w:rsid w:val="002D4B4C"/>
    <w:rsid w:val="002E50D9"/>
    <w:rsid w:val="002F24FB"/>
    <w:rsid w:val="002F3DC2"/>
    <w:rsid w:val="002F6270"/>
    <w:rsid w:val="002F630E"/>
    <w:rsid w:val="00302599"/>
    <w:rsid w:val="00302F10"/>
    <w:rsid w:val="003050F2"/>
    <w:rsid w:val="003055E9"/>
    <w:rsid w:val="00306A0D"/>
    <w:rsid w:val="0030744F"/>
    <w:rsid w:val="00311FB0"/>
    <w:rsid w:val="0031521B"/>
    <w:rsid w:val="0031574A"/>
    <w:rsid w:val="00315E15"/>
    <w:rsid w:val="00315F48"/>
    <w:rsid w:val="00316600"/>
    <w:rsid w:val="00324183"/>
    <w:rsid w:val="00330E11"/>
    <w:rsid w:val="003322BC"/>
    <w:rsid w:val="00333359"/>
    <w:rsid w:val="00333F8B"/>
    <w:rsid w:val="00343D38"/>
    <w:rsid w:val="00345289"/>
    <w:rsid w:val="003455E7"/>
    <w:rsid w:val="003507DC"/>
    <w:rsid w:val="00353B10"/>
    <w:rsid w:val="0035693F"/>
    <w:rsid w:val="00360670"/>
    <w:rsid w:val="00361153"/>
    <w:rsid w:val="003638BA"/>
    <w:rsid w:val="003657BE"/>
    <w:rsid w:val="003669C5"/>
    <w:rsid w:val="00370170"/>
    <w:rsid w:val="0037360D"/>
    <w:rsid w:val="003741B7"/>
    <w:rsid w:val="0037560F"/>
    <w:rsid w:val="00375A01"/>
    <w:rsid w:val="003765BE"/>
    <w:rsid w:val="00382894"/>
    <w:rsid w:val="00382CE8"/>
    <w:rsid w:val="00386510"/>
    <w:rsid w:val="00387711"/>
    <w:rsid w:val="003900DC"/>
    <w:rsid w:val="0039071D"/>
    <w:rsid w:val="00391F07"/>
    <w:rsid w:val="003923E6"/>
    <w:rsid w:val="003A04A7"/>
    <w:rsid w:val="003A260C"/>
    <w:rsid w:val="003A290A"/>
    <w:rsid w:val="003A3607"/>
    <w:rsid w:val="003A6D9B"/>
    <w:rsid w:val="003A6DD1"/>
    <w:rsid w:val="003A74A9"/>
    <w:rsid w:val="003B13CC"/>
    <w:rsid w:val="003B3B79"/>
    <w:rsid w:val="003C033B"/>
    <w:rsid w:val="003C069A"/>
    <w:rsid w:val="003C4212"/>
    <w:rsid w:val="003C4568"/>
    <w:rsid w:val="003C6EF4"/>
    <w:rsid w:val="003D719C"/>
    <w:rsid w:val="003E2215"/>
    <w:rsid w:val="003E3ABF"/>
    <w:rsid w:val="003E4A0C"/>
    <w:rsid w:val="003E664D"/>
    <w:rsid w:val="003E6781"/>
    <w:rsid w:val="003E7466"/>
    <w:rsid w:val="003E757E"/>
    <w:rsid w:val="003F1886"/>
    <w:rsid w:val="003F2812"/>
    <w:rsid w:val="003F5429"/>
    <w:rsid w:val="003F6D7D"/>
    <w:rsid w:val="00400480"/>
    <w:rsid w:val="004023B8"/>
    <w:rsid w:val="004032AF"/>
    <w:rsid w:val="00407B2F"/>
    <w:rsid w:val="004105BA"/>
    <w:rsid w:val="0041490C"/>
    <w:rsid w:val="00414FDE"/>
    <w:rsid w:val="00427D51"/>
    <w:rsid w:val="0043521B"/>
    <w:rsid w:val="00436A3E"/>
    <w:rsid w:val="00441FFE"/>
    <w:rsid w:val="004516E9"/>
    <w:rsid w:val="00465533"/>
    <w:rsid w:val="00467970"/>
    <w:rsid w:val="00473670"/>
    <w:rsid w:val="00474B73"/>
    <w:rsid w:val="00475193"/>
    <w:rsid w:val="00475786"/>
    <w:rsid w:val="00475FD9"/>
    <w:rsid w:val="0047713C"/>
    <w:rsid w:val="00481040"/>
    <w:rsid w:val="0048250F"/>
    <w:rsid w:val="00487B33"/>
    <w:rsid w:val="00494F2A"/>
    <w:rsid w:val="004954C9"/>
    <w:rsid w:val="00495F09"/>
    <w:rsid w:val="00496130"/>
    <w:rsid w:val="004A0732"/>
    <w:rsid w:val="004A4111"/>
    <w:rsid w:val="004B3B21"/>
    <w:rsid w:val="004B4D8F"/>
    <w:rsid w:val="004B7349"/>
    <w:rsid w:val="004C2749"/>
    <w:rsid w:val="004C4C88"/>
    <w:rsid w:val="004C7234"/>
    <w:rsid w:val="004D63D7"/>
    <w:rsid w:val="004D7D06"/>
    <w:rsid w:val="004E1550"/>
    <w:rsid w:val="004E2A6E"/>
    <w:rsid w:val="004F18A4"/>
    <w:rsid w:val="004F2AC8"/>
    <w:rsid w:val="004F441E"/>
    <w:rsid w:val="004F6AD6"/>
    <w:rsid w:val="00500D97"/>
    <w:rsid w:val="005057B3"/>
    <w:rsid w:val="005101E9"/>
    <w:rsid w:val="00510901"/>
    <w:rsid w:val="00511333"/>
    <w:rsid w:val="00511D3F"/>
    <w:rsid w:val="00514494"/>
    <w:rsid w:val="00514615"/>
    <w:rsid w:val="005200EF"/>
    <w:rsid w:val="00530C5C"/>
    <w:rsid w:val="00535781"/>
    <w:rsid w:val="00542AEC"/>
    <w:rsid w:val="00544A79"/>
    <w:rsid w:val="00545702"/>
    <w:rsid w:val="00546D83"/>
    <w:rsid w:val="0054752B"/>
    <w:rsid w:val="00550E30"/>
    <w:rsid w:val="00554A61"/>
    <w:rsid w:val="00560430"/>
    <w:rsid w:val="00560B8C"/>
    <w:rsid w:val="00560F0B"/>
    <w:rsid w:val="00561B1A"/>
    <w:rsid w:val="00562BD6"/>
    <w:rsid w:val="00565991"/>
    <w:rsid w:val="005668A5"/>
    <w:rsid w:val="00571756"/>
    <w:rsid w:val="00575931"/>
    <w:rsid w:val="0058358D"/>
    <w:rsid w:val="005865F6"/>
    <w:rsid w:val="005877DC"/>
    <w:rsid w:val="00592294"/>
    <w:rsid w:val="005922FC"/>
    <w:rsid w:val="0059644A"/>
    <w:rsid w:val="005A0E97"/>
    <w:rsid w:val="005A1063"/>
    <w:rsid w:val="005A2571"/>
    <w:rsid w:val="005A2599"/>
    <w:rsid w:val="005B0072"/>
    <w:rsid w:val="005B0AFB"/>
    <w:rsid w:val="005B2325"/>
    <w:rsid w:val="005B2520"/>
    <w:rsid w:val="005B35C1"/>
    <w:rsid w:val="005C2F13"/>
    <w:rsid w:val="005C334D"/>
    <w:rsid w:val="005C3436"/>
    <w:rsid w:val="005C4093"/>
    <w:rsid w:val="005C4A38"/>
    <w:rsid w:val="005C7EB0"/>
    <w:rsid w:val="005D40F3"/>
    <w:rsid w:val="005D4755"/>
    <w:rsid w:val="005D4A8F"/>
    <w:rsid w:val="005E0175"/>
    <w:rsid w:val="005E1A5C"/>
    <w:rsid w:val="005E35A4"/>
    <w:rsid w:val="005E3E63"/>
    <w:rsid w:val="005E459B"/>
    <w:rsid w:val="005E4A79"/>
    <w:rsid w:val="005E5A95"/>
    <w:rsid w:val="005E64A9"/>
    <w:rsid w:val="005F1FAE"/>
    <w:rsid w:val="005F251C"/>
    <w:rsid w:val="005F6B7D"/>
    <w:rsid w:val="005F6F25"/>
    <w:rsid w:val="00601D6A"/>
    <w:rsid w:val="006036C0"/>
    <w:rsid w:val="00603B52"/>
    <w:rsid w:val="006059E6"/>
    <w:rsid w:val="00606AD3"/>
    <w:rsid w:val="00607AB5"/>
    <w:rsid w:val="00612399"/>
    <w:rsid w:val="0061281E"/>
    <w:rsid w:val="00613280"/>
    <w:rsid w:val="00613E04"/>
    <w:rsid w:val="00626315"/>
    <w:rsid w:val="006264AE"/>
    <w:rsid w:val="006319D7"/>
    <w:rsid w:val="00637DA2"/>
    <w:rsid w:val="00642961"/>
    <w:rsid w:val="00643B36"/>
    <w:rsid w:val="00644DAB"/>
    <w:rsid w:val="00646F7A"/>
    <w:rsid w:val="00654680"/>
    <w:rsid w:val="00660EBB"/>
    <w:rsid w:val="00661957"/>
    <w:rsid w:val="00666689"/>
    <w:rsid w:val="00667777"/>
    <w:rsid w:val="00670BFB"/>
    <w:rsid w:val="006800AC"/>
    <w:rsid w:val="00681650"/>
    <w:rsid w:val="00684E59"/>
    <w:rsid w:val="0068705C"/>
    <w:rsid w:val="006917D7"/>
    <w:rsid w:val="00693933"/>
    <w:rsid w:val="00695EEC"/>
    <w:rsid w:val="006A165A"/>
    <w:rsid w:val="006A25FA"/>
    <w:rsid w:val="006A43B9"/>
    <w:rsid w:val="006A562D"/>
    <w:rsid w:val="006A5E18"/>
    <w:rsid w:val="006A6C04"/>
    <w:rsid w:val="006B15C2"/>
    <w:rsid w:val="006B24F1"/>
    <w:rsid w:val="006B2708"/>
    <w:rsid w:val="006C2EA3"/>
    <w:rsid w:val="006C3C3B"/>
    <w:rsid w:val="006C4248"/>
    <w:rsid w:val="006C4B4D"/>
    <w:rsid w:val="006D271E"/>
    <w:rsid w:val="006D2E08"/>
    <w:rsid w:val="006D519C"/>
    <w:rsid w:val="006D6E32"/>
    <w:rsid w:val="006D762D"/>
    <w:rsid w:val="006E0C0D"/>
    <w:rsid w:val="006E18A1"/>
    <w:rsid w:val="006E1A72"/>
    <w:rsid w:val="006E1BB6"/>
    <w:rsid w:val="006E2B0E"/>
    <w:rsid w:val="006E52C9"/>
    <w:rsid w:val="006E5720"/>
    <w:rsid w:val="006E5A06"/>
    <w:rsid w:val="006E72AC"/>
    <w:rsid w:val="006F0457"/>
    <w:rsid w:val="006F27BE"/>
    <w:rsid w:val="006F42AB"/>
    <w:rsid w:val="006F759B"/>
    <w:rsid w:val="00702F84"/>
    <w:rsid w:val="0070427A"/>
    <w:rsid w:val="00705F55"/>
    <w:rsid w:val="007121C3"/>
    <w:rsid w:val="00713D0B"/>
    <w:rsid w:val="00713FC7"/>
    <w:rsid w:val="007156FF"/>
    <w:rsid w:val="00721A95"/>
    <w:rsid w:val="00724387"/>
    <w:rsid w:val="00727B3C"/>
    <w:rsid w:val="007316CB"/>
    <w:rsid w:val="0073387D"/>
    <w:rsid w:val="00734EA0"/>
    <w:rsid w:val="00735124"/>
    <w:rsid w:val="00741799"/>
    <w:rsid w:val="0074640F"/>
    <w:rsid w:val="007516C0"/>
    <w:rsid w:val="007533E6"/>
    <w:rsid w:val="007554AB"/>
    <w:rsid w:val="00755C78"/>
    <w:rsid w:val="00761284"/>
    <w:rsid w:val="00763B41"/>
    <w:rsid w:val="007651E6"/>
    <w:rsid w:val="00766982"/>
    <w:rsid w:val="00771C5B"/>
    <w:rsid w:val="007838BC"/>
    <w:rsid w:val="007859E9"/>
    <w:rsid w:val="00792549"/>
    <w:rsid w:val="007928F2"/>
    <w:rsid w:val="00795070"/>
    <w:rsid w:val="00796D43"/>
    <w:rsid w:val="007A2D57"/>
    <w:rsid w:val="007A4CDA"/>
    <w:rsid w:val="007A77C8"/>
    <w:rsid w:val="007A7F4F"/>
    <w:rsid w:val="007B3642"/>
    <w:rsid w:val="007B5DCC"/>
    <w:rsid w:val="007C0D14"/>
    <w:rsid w:val="007C1D75"/>
    <w:rsid w:val="007C3F84"/>
    <w:rsid w:val="007C5211"/>
    <w:rsid w:val="007D1272"/>
    <w:rsid w:val="007E27BA"/>
    <w:rsid w:val="007E32ED"/>
    <w:rsid w:val="007F03BB"/>
    <w:rsid w:val="007F0C6E"/>
    <w:rsid w:val="007F1957"/>
    <w:rsid w:val="007F1D5D"/>
    <w:rsid w:val="007F2521"/>
    <w:rsid w:val="007F6806"/>
    <w:rsid w:val="007F6AF9"/>
    <w:rsid w:val="00802ACB"/>
    <w:rsid w:val="00803833"/>
    <w:rsid w:val="00812871"/>
    <w:rsid w:val="008137C0"/>
    <w:rsid w:val="0081423E"/>
    <w:rsid w:val="00815DB9"/>
    <w:rsid w:val="00820F11"/>
    <w:rsid w:val="008210EC"/>
    <w:rsid w:val="008246AE"/>
    <w:rsid w:val="00825C05"/>
    <w:rsid w:val="008262A1"/>
    <w:rsid w:val="0083044F"/>
    <w:rsid w:val="00833922"/>
    <w:rsid w:val="00835CAD"/>
    <w:rsid w:val="00840200"/>
    <w:rsid w:val="00840554"/>
    <w:rsid w:val="0084106A"/>
    <w:rsid w:val="008425EC"/>
    <w:rsid w:val="00843562"/>
    <w:rsid w:val="00844D63"/>
    <w:rsid w:val="008455E7"/>
    <w:rsid w:val="00845E5F"/>
    <w:rsid w:val="008471A2"/>
    <w:rsid w:val="008501FD"/>
    <w:rsid w:val="00850406"/>
    <w:rsid w:val="00850716"/>
    <w:rsid w:val="00853AE0"/>
    <w:rsid w:val="00856B04"/>
    <w:rsid w:val="0085779B"/>
    <w:rsid w:val="008628C3"/>
    <w:rsid w:val="0087120A"/>
    <w:rsid w:val="00882D9E"/>
    <w:rsid w:val="00886078"/>
    <w:rsid w:val="0088750D"/>
    <w:rsid w:val="00890124"/>
    <w:rsid w:val="00891EAD"/>
    <w:rsid w:val="0089405B"/>
    <w:rsid w:val="008A2FD8"/>
    <w:rsid w:val="008A35E3"/>
    <w:rsid w:val="008B4AB6"/>
    <w:rsid w:val="008C7194"/>
    <w:rsid w:val="008D09B1"/>
    <w:rsid w:val="008D755C"/>
    <w:rsid w:val="008E0887"/>
    <w:rsid w:val="008E0B4A"/>
    <w:rsid w:val="008E1B2D"/>
    <w:rsid w:val="008E6F82"/>
    <w:rsid w:val="009003AE"/>
    <w:rsid w:val="00900FF4"/>
    <w:rsid w:val="00901C11"/>
    <w:rsid w:val="00901D20"/>
    <w:rsid w:val="00903AC0"/>
    <w:rsid w:val="00904CCD"/>
    <w:rsid w:val="0090579A"/>
    <w:rsid w:val="00907786"/>
    <w:rsid w:val="00912CD2"/>
    <w:rsid w:val="00913D8C"/>
    <w:rsid w:val="00916BDD"/>
    <w:rsid w:val="00923F6E"/>
    <w:rsid w:val="00924D46"/>
    <w:rsid w:val="00925083"/>
    <w:rsid w:val="00933249"/>
    <w:rsid w:val="00933F37"/>
    <w:rsid w:val="00937CD9"/>
    <w:rsid w:val="009413E6"/>
    <w:rsid w:val="00950AD3"/>
    <w:rsid w:val="00953283"/>
    <w:rsid w:val="00954934"/>
    <w:rsid w:val="0095729C"/>
    <w:rsid w:val="009637C0"/>
    <w:rsid w:val="00964823"/>
    <w:rsid w:val="00972F50"/>
    <w:rsid w:val="00973A7B"/>
    <w:rsid w:val="00974A68"/>
    <w:rsid w:val="00982151"/>
    <w:rsid w:val="009837C1"/>
    <w:rsid w:val="009848D0"/>
    <w:rsid w:val="0098545C"/>
    <w:rsid w:val="00994FF6"/>
    <w:rsid w:val="00995E17"/>
    <w:rsid w:val="00996742"/>
    <w:rsid w:val="00996B00"/>
    <w:rsid w:val="009A41AC"/>
    <w:rsid w:val="009A4237"/>
    <w:rsid w:val="009A4F22"/>
    <w:rsid w:val="009A7FAB"/>
    <w:rsid w:val="009B35AE"/>
    <w:rsid w:val="009B5A7B"/>
    <w:rsid w:val="009B7BF5"/>
    <w:rsid w:val="009B7EF7"/>
    <w:rsid w:val="009C2BD6"/>
    <w:rsid w:val="009C569C"/>
    <w:rsid w:val="009C5D36"/>
    <w:rsid w:val="009D14AA"/>
    <w:rsid w:val="009D3ED4"/>
    <w:rsid w:val="009D470C"/>
    <w:rsid w:val="009D4E06"/>
    <w:rsid w:val="009D7E60"/>
    <w:rsid w:val="009E3364"/>
    <w:rsid w:val="009E3752"/>
    <w:rsid w:val="009E45D3"/>
    <w:rsid w:val="009E65C1"/>
    <w:rsid w:val="009E6665"/>
    <w:rsid w:val="009F155F"/>
    <w:rsid w:val="009F22D4"/>
    <w:rsid w:val="009F2933"/>
    <w:rsid w:val="009F5320"/>
    <w:rsid w:val="009F6529"/>
    <w:rsid w:val="009F6BAC"/>
    <w:rsid w:val="009F7637"/>
    <w:rsid w:val="009F7AFC"/>
    <w:rsid w:val="00A00F61"/>
    <w:rsid w:val="00A0117D"/>
    <w:rsid w:val="00A04500"/>
    <w:rsid w:val="00A05329"/>
    <w:rsid w:val="00A058DE"/>
    <w:rsid w:val="00A05B69"/>
    <w:rsid w:val="00A13315"/>
    <w:rsid w:val="00A1473C"/>
    <w:rsid w:val="00A169FD"/>
    <w:rsid w:val="00A16BA3"/>
    <w:rsid w:val="00A216D2"/>
    <w:rsid w:val="00A239A2"/>
    <w:rsid w:val="00A24CF9"/>
    <w:rsid w:val="00A25332"/>
    <w:rsid w:val="00A260DD"/>
    <w:rsid w:val="00A26244"/>
    <w:rsid w:val="00A34C4A"/>
    <w:rsid w:val="00A3573F"/>
    <w:rsid w:val="00A370B0"/>
    <w:rsid w:val="00A37DD9"/>
    <w:rsid w:val="00A410C3"/>
    <w:rsid w:val="00A41D3F"/>
    <w:rsid w:val="00A41F03"/>
    <w:rsid w:val="00A432CF"/>
    <w:rsid w:val="00A478D9"/>
    <w:rsid w:val="00A515ED"/>
    <w:rsid w:val="00A54904"/>
    <w:rsid w:val="00A57787"/>
    <w:rsid w:val="00A62DB1"/>
    <w:rsid w:val="00A63EBA"/>
    <w:rsid w:val="00A64FFA"/>
    <w:rsid w:val="00A65089"/>
    <w:rsid w:val="00A6664A"/>
    <w:rsid w:val="00A7112E"/>
    <w:rsid w:val="00A75A95"/>
    <w:rsid w:val="00A75C65"/>
    <w:rsid w:val="00A83B8E"/>
    <w:rsid w:val="00A84FF5"/>
    <w:rsid w:val="00A852EA"/>
    <w:rsid w:val="00A87802"/>
    <w:rsid w:val="00A913D0"/>
    <w:rsid w:val="00A92469"/>
    <w:rsid w:val="00A93339"/>
    <w:rsid w:val="00A94818"/>
    <w:rsid w:val="00A96BDD"/>
    <w:rsid w:val="00AA2A79"/>
    <w:rsid w:val="00AA2FF3"/>
    <w:rsid w:val="00AB1365"/>
    <w:rsid w:val="00AB393A"/>
    <w:rsid w:val="00AB4281"/>
    <w:rsid w:val="00AB531A"/>
    <w:rsid w:val="00AB5698"/>
    <w:rsid w:val="00AB6A67"/>
    <w:rsid w:val="00AB7A4D"/>
    <w:rsid w:val="00AC275C"/>
    <w:rsid w:val="00AC428C"/>
    <w:rsid w:val="00AC5576"/>
    <w:rsid w:val="00AC6530"/>
    <w:rsid w:val="00AC6F2E"/>
    <w:rsid w:val="00AD0686"/>
    <w:rsid w:val="00AD5C95"/>
    <w:rsid w:val="00AD75A0"/>
    <w:rsid w:val="00AE7406"/>
    <w:rsid w:val="00AE7633"/>
    <w:rsid w:val="00AF2BAD"/>
    <w:rsid w:val="00AF3E0B"/>
    <w:rsid w:val="00AF46B3"/>
    <w:rsid w:val="00B2507F"/>
    <w:rsid w:val="00B27A54"/>
    <w:rsid w:val="00B27CA9"/>
    <w:rsid w:val="00B357B9"/>
    <w:rsid w:val="00B37064"/>
    <w:rsid w:val="00B436CE"/>
    <w:rsid w:val="00B4680F"/>
    <w:rsid w:val="00B53EF3"/>
    <w:rsid w:val="00B6252A"/>
    <w:rsid w:val="00B62889"/>
    <w:rsid w:val="00B6633F"/>
    <w:rsid w:val="00B6665C"/>
    <w:rsid w:val="00B706B3"/>
    <w:rsid w:val="00B73AAF"/>
    <w:rsid w:val="00B765D8"/>
    <w:rsid w:val="00B7765D"/>
    <w:rsid w:val="00B77A48"/>
    <w:rsid w:val="00B80F89"/>
    <w:rsid w:val="00B815F6"/>
    <w:rsid w:val="00B83D70"/>
    <w:rsid w:val="00B85307"/>
    <w:rsid w:val="00B91C1C"/>
    <w:rsid w:val="00B92CD3"/>
    <w:rsid w:val="00B930A0"/>
    <w:rsid w:val="00B93D30"/>
    <w:rsid w:val="00B9542A"/>
    <w:rsid w:val="00BA16F8"/>
    <w:rsid w:val="00BA25F9"/>
    <w:rsid w:val="00BB0037"/>
    <w:rsid w:val="00BB3620"/>
    <w:rsid w:val="00BB3EFD"/>
    <w:rsid w:val="00BB405B"/>
    <w:rsid w:val="00BC3081"/>
    <w:rsid w:val="00BC554C"/>
    <w:rsid w:val="00BC6459"/>
    <w:rsid w:val="00BD33A9"/>
    <w:rsid w:val="00BE0656"/>
    <w:rsid w:val="00BE1841"/>
    <w:rsid w:val="00BE226C"/>
    <w:rsid w:val="00BE2307"/>
    <w:rsid w:val="00BE67E1"/>
    <w:rsid w:val="00BF1B6E"/>
    <w:rsid w:val="00BF2846"/>
    <w:rsid w:val="00BF2DA9"/>
    <w:rsid w:val="00BF72B3"/>
    <w:rsid w:val="00C00B1B"/>
    <w:rsid w:val="00C012C2"/>
    <w:rsid w:val="00C0354E"/>
    <w:rsid w:val="00C06B54"/>
    <w:rsid w:val="00C07323"/>
    <w:rsid w:val="00C11550"/>
    <w:rsid w:val="00C13656"/>
    <w:rsid w:val="00C161F8"/>
    <w:rsid w:val="00C20238"/>
    <w:rsid w:val="00C21232"/>
    <w:rsid w:val="00C2595D"/>
    <w:rsid w:val="00C262D2"/>
    <w:rsid w:val="00C26C4E"/>
    <w:rsid w:val="00C30C55"/>
    <w:rsid w:val="00C316B9"/>
    <w:rsid w:val="00C328C6"/>
    <w:rsid w:val="00C3690E"/>
    <w:rsid w:val="00C42F34"/>
    <w:rsid w:val="00C508DC"/>
    <w:rsid w:val="00C50F11"/>
    <w:rsid w:val="00C51531"/>
    <w:rsid w:val="00C5552A"/>
    <w:rsid w:val="00C56F68"/>
    <w:rsid w:val="00C61EC8"/>
    <w:rsid w:val="00C62BD5"/>
    <w:rsid w:val="00C644C8"/>
    <w:rsid w:val="00C65964"/>
    <w:rsid w:val="00C663C7"/>
    <w:rsid w:val="00C66966"/>
    <w:rsid w:val="00C67B02"/>
    <w:rsid w:val="00C7107E"/>
    <w:rsid w:val="00C7210D"/>
    <w:rsid w:val="00C74C29"/>
    <w:rsid w:val="00C753A5"/>
    <w:rsid w:val="00C75B6C"/>
    <w:rsid w:val="00C76D78"/>
    <w:rsid w:val="00C81B4E"/>
    <w:rsid w:val="00C82A35"/>
    <w:rsid w:val="00C834E2"/>
    <w:rsid w:val="00C9059D"/>
    <w:rsid w:val="00C94C5F"/>
    <w:rsid w:val="00C95058"/>
    <w:rsid w:val="00C95F09"/>
    <w:rsid w:val="00C977C9"/>
    <w:rsid w:val="00CA4B15"/>
    <w:rsid w:val="00CA4E98"/>
    <w:rsid w:val="00CA5442"/>
    <w:rsid w:val="00CB555D"/>
    <w:rsid w:val="00CB5A5D"/>
    <w:rsid w:val="00CC0129"/>
    <w:rsid w:val="00CC0E50"/>
    <w:rsid w:val="00CC20E8"/>
    <w:rsid w:val="00CC2334"/>
    <w:rsid w:val="00CC37B4"/>
    <w:rsid w:val="00CC5339"/>
    <w:rsid w:val="00CC686C"/>
    <w:rsid w:val="00CC6DC5"/>
    <w:rsid w:val="00CD12FE"/>
    <w:rsid w:val="00CD39C3"/>
    <w:rsid w:val="00CE3036"/>
    <w:rsid w:val="00CE4C93"/>
    <w:rsid w:val="00CE55BD"/>
    <w:rsid w:val="00CF0E13"/>
    <w:rsid w:val="00CF23D7"/>
    <w:rsid w:val="00CF28FC"/>
    <w:rsid w:val="00CF3CCF"/>
    <w:rsid w:val="00CF6FB6"/>
    <w:rsid w:val="00CF73D8"/>
    <w:rsid w:val="00D005F2"/>
    <w:rsid w:val="00D00706"/>
    <w:rsid w:val="00D008F0"/>
    <w:rsid w:val="00D01767"/>
    <w:rsid w:val="00D031B9"/>
    <w:rsid w:val="00D0498D"/>
    <w:rsid w:val="00D06838"/>
    <w:rsid w:val="00D12689"/>
    <w:rsid w:val="00D12721"/>
    <w:rsid w:val="00D16007"/>
    <w:rsid w:val="00D16AFC"/>
    <w:rsid w:val="00D24F24"/>
    <w:rsid w:val="00D27187"/>
    <w:rsid w:val="00D3071A"/>
    <w:rsid w:val="00D32376"/>
    <w:rsid w:val="00D32DE4"/>
    <w:rsid w:val="00D33487"/>
    <w:rsid w:val="00D414E7"/>
    <w:rsid w:val="00D4488B"/>
    <w:rsid w:val="00D44FBB"/>
    <w:rsid w:val="00D45A52"/>
    <w:rsid w:val="00D5124A"/>
    <w:rsid w:val="00D521FD"/>
    <w:rsid w:val="00D52CA1"/>
    <w:rsid w:val="00D53A20"/>
    <w:rsid w:val="00D54C12"/>
    <w:rsid w:val="00D551AB"/>
    <w:rsid w:val="00D60C33"/>
    <w:rsid w:val="00D623DD"/>
    <w:rsid w:val="00D70840"/>
    <w:rsid w:val="00D71D17"/>
    <w:rsid w:val="00D75809"/>
    <w:rsid w:val="00D77815"/>
    <w:rsid w:val="00D80725"/>
    <w:rsid w:val="00D80E52"/>
    <w:rsid w:val="00D83118"/>
    <w:rsid w:val="00D87E4A"/>
    <w:rsid w:val="00D91728"/>
    <w:rsid w:val="00D94250"/>
    <w:rsid w:val="00DA08E2"/>
    <w:rsid w:val="00DA2047"/>
    <w:rsid w:val="00DA249A"/>
    <w:rsid w:val="00DA372A"/>
    <w:rsid w:val="00DA3BA2"/>
    <w:rsid w:val="00DA40DD"/>
    <w:rsid w:val="00DB1C4A"/>
    <w:rsid w:val="00DB21A9"/>
    <w:rsid w:val="00DB4C6F"/>
    <w:rsid w:val="00DB669C"/>
    <w:rsid w:val="00DB72BC"/>
    <w:rsid w:val="00DC2B0F"/>
    <w:rsid w:val="00DC36D3"/>
    <w:rsid w:val="00DD2E9D"/>
    <w:rsid w:val="00DD5CA7"/>
    <w:rsid w:val="00DE40D6"/>
    <w:rsid w:val="00DE64DA"/>
    <w:rsid w:val="00DF2BE0"/>
    <w:rsid w:val="00DF3081"/>
    <w:rsid w:val="00DF6BEA"/>
    <w:rsid w:val="00E030DF"/>
    <w:rsid w:val="00E0657A"/>
    <w:rsid w:val="00E077EF"/>
    <w:rsid w:val="00E1199A"/>
    <w:rsid w:val="00E11E02"/>
    <w:rsid w:val="00E1220B"/>
    <w:rsid w:val="00E16306"/>
    <w:rsid w:val="00E22330"/>
    <w:rsid w:val="00E225B1"/>
    <w:rsid w:val="00E243FD"/>
    <w:rsid w:val="00E2599F"/>
    <w:rsid w:val="00E25F40"/>
    <w:rsid w:val="00E34C11"/>
    <w:rsid w:val="00E407B4"/>
    <w:rsid w:val="00E42EC2"/>
    <w:rsid w:val="00E46501"/>
    <w:rsid w:val="00E55F5F"/>
    <w:rsid w:val="00E56FD3"/>
    <w:rsid w:val="00E5777B"/>
    <w:rsid w:val="00E60892"/>
    <w:rsid w:val="00E710B5"/>
    <w:rsid w:val="00E72B54"/>
    <w:rsid w:val="00E74766"/>
    <w:rsid w:val="00E75A7C"/>
    <w:rsid w:val="00E81510"/>
    <w:rsid w:val="00E82A1B"/>
    <w:rsid w:val="00E82DD0"/>
    <w:rsid w:val="00E87844"/>
    <w:rsid w:val="00E91989"/>
    <w:rsid w:val="00E91E56"/>
    <w:rsid w:val="00E9607E"/>
    <w:rsid w:val="00E96B5A"/>
    <w:rsid w:val="00E97392"/>
    <w:rsid w:val="00EA1185"/>
    <w:rsid w:val="00EA2AB5"/>
    <w:rsid w:val="00EA758B"/>
    <w:rsid w:val="00EB0386"/>
    <w:rsid w:val="00EB1AD6"/>
    <w:rsid w:val="00EB4C01"/>
    <w:rsid w:val="00EC0079"/>
    <w:rsid w:val="00ED3016"/>
    <w:rsid w:val="00ED3256"/>
    <w:rsid w:val="00ED380E"/>
    <w:rsid w:val="00ED3B87"/>
    <w:rsid w:val="00ED6A63"/>
    <w:rsid w:val="00ED76E4"/>
    <w:rsid w:val="00EE7FFB"/>
    <w:rsid w:val="00EF2F59"/>
    <w:rsid w:val="00F02A0B"/>
    <w:rsid w:val="00F03F7E"/>
    <w:rsid w:val="00F0779F"/>
    <w:rsid w:val="00F27E0F"/>
    <w:rsid w:val="00F32E1F"/>
    <w:rsid w:val="00F34155"/>
    <w:rsid w:val="00F37730"/>
    <w:rsid w:val="00F37E7A"/>
    <w:rsid w:val="00F459C5"/>
    <w:rsid w:val="00F4611F"/>
    <w:rsid w:val="00F52503"/>
    <w:rsid w:val="00F54B65"/>
    <w:rsid w:val="00F56CA3"/>
    <w:rsid w:val="00F62EDE"/>
    <w:rsid w:val="00F643F1"/>
    <w:rsid w:val="00F6517D"/>
    <w:rsid w:val="00F65618"/>
    <w:rsid w:val="00F65881"/>
    <w:rsid w:val="00F73A92"/>
    <w:rsid w:val="00F76C6E"/>
    <w:rsid w:val="00F77489"/>
    <w:rsid w:val="00F805CF"/>
    <w:rsid w:val="00F91A21"/>
    <w:rsid w:val="00F930CB"/>
    <w:rsid w:val="00F95DFF"/>
    <w:rsid w:val="00F9730B"/>
    <w:rsid w:val="00F97416"/>
    <w:rsid w:val="00FA00C5"/>
    <w:rsid w:val="00FA106C"/>
    <w:rsid w:val="00FA28CF"/>
    <w:rsid w:val="00FA5C97"/>
    <w:rsid w:val="00FA5CFE"/>
    <w:rsid w:val="00FA7579"/>
    <w:rsid w:val="00FB7290"/>
    <w:rsid w:val="00FC172D"/>
    <w:rsid w:val="00FC2FE5"/>
    <w:rsid w:val="00FC6530"/>
    <w:rsid w:val="00FD0275"/>
    <w:rsid w:val="00FD17CA"/>
    <w:rsid w:val="00FD2382"/>
    <w:rsid w:val="00FE1D8C"/>
    <w:rsid w:val="00FE6381"/>
    <w:rsid w:val="00FF3D8D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5B"/>
  </w:style>
  <w:style w:type="paragraph" w:styleId="1">
    <w:name w:val="heading 1"/>
    <w:basedOn w:val="a"/>
    <w:link w:val="10"/>
    <w:uiPriority w:val="9"/>
    <w:qFormat/>
    <w:rsid w:val="00AB1365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136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65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136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B13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1365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13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B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AB1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AB13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AB1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AB1365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AB1365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AB1365"/>
  </w:style>
  <w:style w:type="paragraph" w:styleId="21">
    <w:name w:val="Body Text Indent 2"/>
    <w:basedOn w:val="a"/>
    <w:link w:val="22"/>
    <w:uiPriority w:val="99"/>
    <w:semiHidden/>
    <w:unhideWhenUsed/>
    <w:rsid w:val="00AB13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6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B13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1365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first">
    <w:name w:val="msolistparagraphcxspfirst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AB136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AB1365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 Знак Знак Знак Знак"/>
    <w:basedOn w:val="a"/>
    <w:rsid w:val="00AB136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nformat">
    <w:name w:val="consplusnonformat"/>
    <w:basedOn w:val="a"/>
    <w:rsid w:val="00A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9">
    <w:name w:val="xl6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1">
    <w:name w:val="xl7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6">
    <w:name w:val="xl7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7">
    <w:name w:val="xl7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8">
    <w:name w:val="xl7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1">
    <w:name w:val="xl8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2">
    <w:name w:val="xl8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4">
    <w:name w:val="xl8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5">
    <w:name w:val="xl85"/>
    <w:basedOn w:val="a"/>
    <w:rsid w:val="00AB13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7">
    <w:name w:val="xl87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8">
    <w:name w:val="xl88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9">
    <w:name w:val="xl89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0">
    <w:name w:val="xl90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1">
    <w:name w:val="xl91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5">
    <w:name w:val="xl95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9">
    <w:name w:val="xl9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00">
    <w:name w:val="xl100"/>
    <w:basedOn w:val="a"/>
    <w:rsid w:val="00AB1365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1">
    <w:name w:val="xl10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AB1365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3">
    <w:name w:val="xl10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4">
    <w:name w:val="xl10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5">
    <w:name w:val="xl10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6">
    <w:name w:val="xl10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AB1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AB13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B1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basedOn w:val="a"/>
    <w:rsid w:val="00AB136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basedOn w:val="a"/>
    <w:rsid w:val="00AB13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papdefault">
    <w:name w:val="msopapdefault"/>
    <w:basedOn w:val="a"/>
    <w:rsid w:val="00AB1365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AB1365"/>
    <w:rPr>
      <w:vertAlign w:val="superscript"/>
    </w:rPr>
  </w:style>
  <w:style w:type="character" w:customStyle="1" w:styleId="apple-converted-space">
    <w:name w:val="apple-converted-space"/>
    <w:basedOn w:val="a0"/>
    <w:rsid w:val="00AB1365"/>
  </w:style>
  <w:style w:type="character" w:customStyle="1" w:styleId="FontStyle31">
    <w:name w:val="Font Style31"/>
    <w:basedOn w:val="a0"/>
    <w:rsid w:val="00AB1365"/>
    <w:rPr>
      <w:rFonts w:ascii="Times New Roman" w:hAnsi="Times New Roman" w:cs="Times New Roman" w:hint="default"/>
    </w:rPr>
  </w:style>
  <w:style w:type="character" w:styleId="af6">
    <w:name w:val="Strong"/>
    <w:basedOn w:val="a0"/>
    <w:uiPriority w:val="22"/>
    <w:qFormat/>
    <w:rsid w:val="00AB1365"/>
    <w:rPr>
      <w:b/>
      <w:bCs/>
    </w:rPr>
  </w:style>
  <w:style w:type="table" w:styleId="af7">
    <w:name w:val="Table Grid"/>
    <w:basedOn w:val="a1"/>
    <w:uiPriority w:val="59"/>
    <w:rsid w:val="004F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354551CA67BDCFED63FF3C81F12052FC72BC0C6E1590CCF273B0227803v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354551CA67BDCFED63FF3C81F12052FC72BC0C6E1590CCF273B0227803v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083959F7F133B0CBCC7141204F368A560411378A1931CE6A18C5F6A797B965D74A478EEF192B5d4Z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9E86-2E19-4B3E-80AA-A3ED845F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13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988</cp:revision>
  <cp:lastPrinted>2021-12-02T08:18:00Z</cp:lastPrinted>
  <dcterms:created xsi:type="dcterms:W3CDTF">2018-04-16T09:55:00Z</dcterms:created>
  <dcterms:modified xsi:type="dcterms:W3CDTF">2024-12-04T12:31:00Z</dcterms:modified>
</cp:coreProperties>
</file>