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58" w:rsidRPr="00B92758" w:rsidRDefault="00B92758" w:rsidP="00B92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58" w:rsidRPr="00B92758" w:rsidRDefault="00B92758" w:rsidP="00B92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758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B92758" w:rsidRPr="00B92758" w:rsidRDefault="00B92758" w:rsidP="00B92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оф.46  Тел. (48330) 2-11-45, </w:t>
      </w:r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B927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B92758" w:rsidRPr="00B92758" w:rsidRDefault="00B92758" w:rsidP="00B92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758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 </w:t>
      </w:r>
    </w:p>
    <w:p w:rsidR="000C4E50" w:rsidRPr="00E82FBE" w:rsidRDefault="000C4E50" w:rsidP="0062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 Контрольно-счетной палаты Суражского муниципального района</w:t>
      </w:r>
    </w:p>
    <w:p w:rsidR="000C4E50" w:rsidRPr="00E82FBE" w:rsidRDefault="000C4E50" w:rsidP="0062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проект решения «О бюджете </w:t>
      </w:r>
      <w:proofErr w:type="spellStart"/>
      <w:r w:rsidR="00A30598">
        <w:rPr>
          <w:rFonts w:ascii="Times New Roman" w:eastAsia="Times New Roman" w:hAnsi="Times New Roman" w:cs="Times New Roman"/>
          <w:b/>
          <w:bCs/>
          <w:sz w:val="24"/>
          <w:szCs w:val="24"/>
        </w:rPr>
        <w:t>Нивнянско</w:t>
      </w:r>
      <w:r w:rsidR="00CF685F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proofErr w:type="spellEnd"/>
      <w:r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</w:t>
      </w:r>
      <w:r w:rsidR="00CF685F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 w:rsidR="00CF6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Суражского </w:t>
      </w:r>
      <w:r w:rsidR="00CF685F"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CF685F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Брянской области</w:t>
      </w:r>
      <w:r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D3688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  <w:r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073D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C4E50" w:rsidRPr="00E82FBE" w:rsidRDefault="000C4E50" w:rsidP="000C4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C4E50" w:rsidRPr="0084768C" w:rsidRDefault="000C4E50" w:rsidP="000C4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68C">
        <w:rPr>
          <w:rFonts w:ascii="Times New Roman" w:eastAsia="Times New Roman" w:hAnsi="Times New Roman" w:cs="Times New Roman"/>
          <w:b/>
          <w:bCs/>
          <w:sz w:val="24"/>
          <w:szCs w:val="24"/>
        </w:rPr>
        <w:t>г. Сураж                                                     </w:t>
      </w:r>
      <w:r w:rsidR="00E82FBE" w:rsidRPr="008476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84768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                          </w:t>
      </w:r>
      <w:r w:rsidR="00E9693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B4C7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4768C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E9693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4768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960A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F11941" w:rsidRPr="008476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84768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0C4E50" w:rsidRPr="005D72ED" w:rsidRDefault="000C4E50" w:rsidP="000C4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2E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C4E50" w:rsidRPr="00E767DC" w:rsidRDefault="000C4E50" w:rsidP="00A901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7DC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0C4E50" w:rsidRPr="00E767DC" w:rsidRDefault="007F45CC" w:rsidP="00A9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45CC">
        <w:rPr>
          <w:rFonts w:ascii="Times New Roman" w:eastAsia="Times New Roman" w:hAnsi="Times New Roman" w:cs="Times New Roman"/>
          <w:sz w:val="24"/>
          <w:szCs w:val="24"/>
        </w:rPr>
        <w:t xml:space="preserve">Заключение Контрольно-счетной палаты Суражского муниципального района на проект решения «О бюджете </w:t>
      </w:r>
      <w:proofErr w:type="spellStart"/>
      <w:r w:rsidR="0073511D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7F45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Суражского муниципального района Брянской области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7F45CC">
        <w:rPr>
          <w:rFonts w:ascii="Times New Roman" w:eastAsia="Times New Roman" w:hAnsi="Times New Roman" w:cs="Times New Roman"/>
          <w:sz w:val="24"/>
          <w:szCs w:val="24"/>
        </w:rPr>
        <w:t>»  подготовлено в соответствии с Бюджетным Кодексом Российской Федерации, Положением «О Контрольно-счетной палате Суражского муниципального района», иными актами законодательства Российской Федерации и органов местного самоуправления Суражского района, пунктом 1.1.2 плана работы</w:t>
      </w:r>
      <w:proofErr w:type="gramEnd"/>
      <w:r w:rsidRPr="007F45CC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Контрольно-счетной палаты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45CC">
        <w:rPr>
          <w:rFonts w:ascii="Times New Roman" w:eastAsia="Times New Roman" w:hAnsi="Times New Roman" w:cs="Times New Roman"/>
          <w:sz w:val="24"/>
          <w:szCs w:val="24"/>
        </w:rPr>
        <w:t xml:space="preserve"> год, приказа №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F45C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E236C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F45CC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30C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F45CC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0C4E50" w:rsidRPr="00E767DC" w:rsidRDefault="000C4E50" w:rsidP="00A901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7DC">
        <w:rPr>
          <w:rFonts w:ascii="Times New Roman" w:eastAsia="Times New Roman" w:hAnsi="Times New Roman" w:cs="Times New Roman"/>
          <w:sz w:val="24"/>
          <w:szCs w:val="24"/>
        </w:rPr>
        <w:t xml:space="preserve">Целью проведения экспертизы проекта бюджета </w:t>
      </w:r>
      <w:proofErr w:type="spellStart"/>
      <w:r w:rsidR="00A937F6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E767D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:rsidR="00A937F6" w:rsidRPr="00601B2C" w:rsidRDefault="00A937F6" w:rsidP="00A901EC">
      <w:pPr>
        <w:keepNext/>
        <w:spacing w:after="0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4"/>
          <w:szCs w:val="24"/>
        </w:rPr>
      </w:pPr>
      <w:r w:rsidRPr="00601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Параметры прогноза </w:t>
      </w:r>
      <w:proofErr w:type="gramStart"/>
      <w:r w:rsidRPr="00601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исходных</w:t>
      </w:r>
      <w:proofErr w:type="gramEnd"/>
      <w:r w:rsidRPr="00601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макроэкономических</w:t>
      </w:r>
    </w:p>
    <w:p w:rsidR="00A937F6" w:rsidRPr="00601B2C" w:rsidRDefault="00A937F6" w:rsidP="00A901EC">
      <w:pPr>
        <w:keepNext/>
        <w:spacing w:after="0"/>
        <w:ind w:firstLine="709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4"/>
          <w:szCs w:val="24"/>
        </w:rPr>
      </w:pPr>
      <w:r w:rsidRPr="00601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показателей для составления проекта бюджета</w:t>
      </w:r>
    </w:p>
    <w:p w:rsidR="00196199" w:rsidRDefault="00A937F6" w:rsidP="001961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Pr="00601B2C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разработан на период </w:t>
      </w:r>
      <w:r w:rsidR="007A58C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58C5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7A58C5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Pr="004A1448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>установленному периоду в части 1 статьи 173 Бюджетного кодекса Российской Федерации</w:t>
      </w:r>
      <w:r w:rsidR="004A14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 Прогноз социально-экономического развития </w:t>
      </w:r>
      <w:proofErr w:type="spellStart"/>
      <w:r w:rsidRPr="00601B2C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7A58C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58C5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7A58C5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 (далее -  Прогноз) разработан в </w:t>
      </w:r>
      <w:hyperlink r:id="rId10" w:history="1">
        <w:r w:rsidRPr="00601B2C">
          <w:rPr>
            <w:rFonts w:ascii="Times New Roman" w:eastAsia="Times New Roman" w:hAnsi="Times New Roman" w:cs="Times New Roman"/>
            <w:sz w:val="24"/>
            <w:szCs w:val="24"/>
          </w:rPr>
          <w:t>порядке</w:t>
        </w:r>
      </w:hyperlink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установленном постановлением </w:t>
      </w:r>
      <w:proofErr w:type="spellStart"/>
      <w:r w:rsidRPr="00601B2C">
        <w:rPr>
          <w:rFonts w:ascii="Times New Roman" w:eastAsia="Times New Roman" w:hAnsi="Times New Roman" w:cs="Times New Roman"/>
          <w:sz w:val="24"/>
          <w:szCs w:val="24"/>
        </w:rPr>
        <w:t>Нивнянской</w:t>
      </w:r>
      <w:proofErr w:type="spellEnd"/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администрацией  Суражского района от 22.07.2016 г. №74/1 «Об утверждении Порядка разработки, корректировки, осуществления мониторинга и контроля реализации прогноза социально-экономического развития муниципального образования </w:t>
      </w:r>
      <w:proofErr w:type="spellStart"/>
      <w:r w:rsidRPr="00601B2C">
        <w:rPr>
          <w:rFonts w:ascii="Times New Roman" w:eastAsia="Times New Roman" w:hAnsi="Times New Roman" w:cs="Times New Roman"/>
          <w:sz w:val="24"/>
          <w:szCs w:val="24"/>
        </w:rPr>
        <w:t>Нивнянское</w:t>
      </w:r>
      <w:proofErr w:type="spellEnd"/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 среднесрочный и долгосрочный период».</w:t>
      </w:r>
      <w:r w:rsidR="00196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3 статьи 173 Бюджетного кодекса Российской Федерации Прогноз был утвержден постановлением </w:t>
      </w:r>
      <w:proofErr w:type="spellStart"/>
      <w:r w:rsidRPr="00601B2C">
        <w:rPr>
          <w:rFonts w:ascii="Times New Roman" w:eastAsia="Times New Roman" w:hAnsi="Times New Roman" w:cs="Times New Roman"/>
          <w:sz w:val="24"/>
          <w:szCs w:val="24"/>
        </w:rPr>
        <w:t>Нивнянской</w:t>
      </w:r>
      <w:proofErr w:type="spellEnd"/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Суражского района от </w:t>
      </w:r>
      <w:r w:rsidR="00FC29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05F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>а №</w:t>
      </w:r>
      <w:r w:rsidR="004A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37F6" w:rsidRPr="00601B2C" w:rsidRDefault="00196199" w:rsidP="007F45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="007F45CC" w:rsidRPr="007F45C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A937F6" w:rsidRPr="00601B2C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A937F6" w:rsidRPr="00601B2C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="00A937F6" w:rsidRPr="00601B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="00A937F6" w:rsidRPr="00601B2C">
        <w:rPr>
          <w:rFonts w:ascii="Times New Roman" w:eastAsia="Times New Roman" w:hAnsi="Times New Roman" w:cs="Times New Roman"/>
          <w:sz w:val="24"/>
          <w:szCs w:val="24"/>
        </w:rPr>
        <w:t xml:space="preserve"> разработан на основе анализа динамики ситуации в экономической и социальной сфере поселения, сценарных условий и основных макроэкономических показателей социально-экономического развития за предыдущие годы, ожидаемых итогов за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937F6" w:rsidRPr="00601B2C">
        <w:rPr>
          <w:rFonts w:ascii="Times New Roman" w:eastAsia="Times New Roman" w:hAnsi="Times New Roman" w:cs="Times New Roman"/>
          <w:sz w:val="24"/>
          <w:szCs w:val="24"/>
        </w:rPr>
        <w:t>, целевых показателей, установленных Указами Президента Российской Федерации,</w:t>
      </w:r>
      <w:r w:rsidR="00A937F6" w:rsidRPr="00601B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937F6" w:rsidRPr="00601B2C">
        <w:rPr>
          <w:rFonts w:ascii="Times New Roman" w:eastAsia="Times New Roman" w:hAnsi="Times New Roman" w:cs="Times New Roman"/>
          <w:sz w:val="24"/>
          <w:szCs w:val="24"/>
        </w:rPr>
        <w:t>а также с учетом эффекта от реализации антикризисных</w:t>
      </w:r>
      <w:proofErr w:type="gramEnd"/>
      <w:r w:rsidR="00A937F6" w:rsidRPr="00601B2C">
        <w:rPr>
          <w:rFonts w:ascii="Times New Roman" w:eastAsia="Times New Roman" w:hAnsi="Times New Roman" w:cs="Times New Roman"/>
          <w:sz w:val="24"/>
          <w:szCs w:val="24"/>
        </w:rPr>
        <w:t xml:space="preserve"> мер, направленных на повышение устойчивости и оздоровление экономики поселения.</w:t>
      </w:r>
    </w:p>
    <w:p w:rsidR="00A937F6" w:rsidRPr="00601B2C" w:rsidRDefault="00A937F6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Разработка прогноза социально-экономического развития </w:t>
      </w:r>
      <w:proofErr w:type="spellStart"/>
      <w:r w:rsidRPr="00601B2C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период до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>а осуществлялась по двум вариантам, с учетом перспектив восстановления роста экономики, а так же проводимой политики государства. В качестве основного принят вариант прогноза, который разработан в условиях сохранения рисков невысокого инвестиционного спроса, слабого роста потребительского спроса, медленного восстановления кредитной активности.</w:t>
      </w:r>
    </w:p>
    <w:p w:rsidR="00A937F6" w:rsidRPr="00601B2C" w:rsidRDefault="00A937F6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2C">
        <w:rPr>
          <w:rFonts w:ascii="Times New Roman" w:eastAsia="Times New Roman" w:hAnsi="Times New Roman" w:cs="Times New Roman"/>
          <w:sz w:val="24"/>
          <w:szCs w:val="24"/>
        </w:rPr>
        <w:t>В соответствии с п. 4 ст. 173 БК РФ в пояснительной записке к прогнозу социально-экономического развития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A937F6" w:rsidRPr="00601B2C" w:rsidRDefault="00A937F6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601B2C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находится 14 населенных пунктов, 2</w:t>
      </w:r>
      <w:r w:rsidR="00AE316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 организаций</w:t>
      </w:r>
      <w:r w:rsidR="00AE316A">
        <w:rPr>
          <w:rFonts w:ascii="Times New Roman" w:eastAsia="Times New Roman" w:hAnsi="Times New Roman" w:cs="Times New Roman"/>
          <w:sz w:val="24"/>
          <w:szCs w:val="24"/>
        </w:rPr>
        <w:t xml:space="preserve"> различных форм собственности</w:t>
      </w:r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 (13 муниципальной формы собственности).</w:t>
      </w:r>
    </w:p>
    <w:p w:rsidR="00A937F6" w:rsidRPr="00601B2C" w:rsidRDefault="00A937F6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2C">
        <w:rPr>
          <w:rFonts w:ascii="Times New Roman" w:eastAsia="Times New Roman" w:hAnsi="Times New Roman" w:cs="Times New Roman"/>
          <w:sz w:val="24"/>
          <w:szCs w:val="24"/>
        </w:rPr>
        <w:t>Названия населенных пунктов, входящих в поселение:</w:t>
      </w:r>
    </w:p>
    <w:p w:rsidR="00A937F6" w:rsidRPr="00601B2C" w:rsidRDefault="00A937F6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-села: </w:t>
      </w:r>
      <w:proofErr w:type="spellStart"/>
      <w:r w:rsidRPr="00601B2C">
        <w:rPr>
          <w:rFonts w:ascii="Times New Roman" w:eastAsia="Times New Roman" w:hAnsi="Times New Roman" w:cs="Times New Roman"/>
          <w:sz w:val="24"/>
          <w:szCs w:val="24"/>
        </w:rPr>
        <w:t>Нивное</w:t>
      </w:r>
      <w:proofErr w:type="spellEnd"/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1B2C">
        <w:rPr>
          <w:rFonts w:ascii="Times New Roman" w:eastAsia="Times New Roman" w:hAnsi="Times New Roman" w:cs="Times New Roman"/>
          <w:sz w:val="24"/>
          <w:szCs w:val="24"/>
        </w:rPr>
        <w:t>Кромово</w:t>
      </w:r>
      <w:proofErr w:type="spellEnd"/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1B2C">
        <w:rPr>
          <w:rFonts w:ascii="Times New Roman" w:eastAsia="Times New Roman" w:hAnsi="Times New Roman" w:cs="Times New Roman"/>
          <w:sz w:val="24"/>
          <w:szCs w:val="24"/>
        </w:rPr>
        <w:t>Высокоселище</w:t>
      </w:r>
      <w:proofErr w:type="spellEnd"/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, Новый Дроков; </w:t>
      </w:r>
    </w:p>
    <w:p w:rsidR="00A937F6" w:rsidRPr="00601B2C" w:rsidRDefault="00A937F6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-деревни: Федоровка, Красное, Старый Дроков; </w:t>
      </w:r>
    </w:p>
    <w:p w:rsidR="00A937F6" w:rsidRDefault="00A937F6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-поселки: </w:t>
      </w:r>
      <w:proofErr w:type="spellStart"/>
      <w:r w:rsidRPr="00601B2C">
        <w:rPr>
          <w:rFonts w:ascii="Times New Roman" w:eastAsia="Times New Roman" w:hAnsi="Times New Roman" w:cs="Times New Roman"/>
          <w:sz w:val="24"/>
          <w:szCs w:val="24"/>
        </w:rPr>
        <w:t>Вьюнное</w:t>
      </w:r>
      <w:proofErr w:type="spellEnd"/>
      <w:r w:rsidRPr="00601B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1B2C">
        <w:rPr>
          <w:rFonts w:ascii="Times New Roman" w:eastAsia="Times New Roman" w:hAnsi="Times New Roman" w:cs="Times New Roman"/>
          <w:sz w:val="24"/>
          <w:szCs w:val="24"/>
        </w:rPr>
        <w:t>Ковалевщина</w:t>
      </w:r>
      <w:proofErr w:type="spellEnd"/>
      <w:r w:rsidRPr="00601B2C">
        <w:rPr>
          <w:rFonts w:ascii="Times New Roman" w:eastAsia="Times New Roman" w:hAnsi="Times New Roman" w:cs="Times New Roman"/>
          <w:sz w:val="24"/>
          <w:szCs w:val="24"/>
        </w:rPr>
        <w:t>, Ясная Поляна, Красная Поляна, Гордый, Теплый, Александровский.</w:t>
      </w:r>
    </w:p>
    <w:p w:rsidR="00601B2C" w:rsidRPr="00601B2C" w:rsidRDefault="00601B2C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площадь земель поселения 12070 га.</w:t>
      </w:r>
    </w:p>
    <w:p w:rsidR="00A937F6" w:rsidRPr="00AE316A" w:rsidRDefault="0013643D" w:rsidP="00A901E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Численность на селения на 01.01.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составляла </w:t>
      </w:r>
      <w:r w:rsidR="004305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65F7">
        <w:rPr>
          <w:rFonts w:ascii="Times New Roman" w:eastAsia="Times New Roman" w:hAnsi="Times New Roman" w:cs="Times New Roman"/>
          <w:sz w:val="24"/>
          <w:szCs w:val="24"/>
        </w:rPr>
        <w:t>316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A937F6" w:rsidRPr="00AE316A" w:rsidRDefault="00A937F6" w:rsidP="00A901EC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16A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сельское поселение характеризуются отрицательным естественным приростом населения, высокими показателями смертности и низкими показателями рождаемости. В сельском поселении наблюдается миграционный отток постоянно проживающего населения. Эти процессы негативным образом влияют на снижение трудового потенциала территории, а значит на снижение потребительского потенциала и на процессы территориального развития и пространственного освоения. </w:t>
      </w:r>
    </w:p>
    <w:p w:rsidR="00A937F6" w:rsidRPr="00AE316A" w:rsidRDefault="00A937F6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16A">
        <w:rPr>
          <w:rFonts w:ascii="Times New Roman" w:eastAsia="Times New Roman" w:hAnsi="Times New Roman" w:cs="Times New Roman"/>
          <w:sz w:val="24"/>
          <w:szCs w:val="24"/>
        </w:rPr>
        <w:t>Основным направлением улучшения демографической ситуации остается повышение рождаемости, т.к. при ее уровне ниже рубежа простого воспроизводства населения даже самая низкая смертность не обеспечит прекращение убыли населения и стабилизации его численности, при этом миграционный прирост населения не является решением демографической проблемы.</w:t>
      </w:r>
    </w:p>
    <w:p w:rsidR="00A937F6" w:rsidRPr="001A78E3" w:rsidRDefault="00A937F6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8E3">
        <w:rPr>
          <w:rFonts w:ascii="Times New Roman" w:eastAsia="Times New Roman" w:hAnsi="Times New Roman" w:cs="Times New Roman"/>
          <w:sz w:val="24"/>
          <w:szCs w:val="24"/>
        </w:rPr>
        <w:t>Первостепенной задачей является обеспечение рабочими местами экономически активное население, их финансовая поддержка с целью закрепления трудовых ресурсов в поселении.</w:t>
      </w:r>
      <w:r w:rsidR="001E3A02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экономически активного населения составляет </w:t>
      </w:r>
      <w:r w:rsidR="001565F7">
        <w:rPr>
          <w:rFonts w:ascii="Times New Roman" w:eastAsia="Times New Roman" w:hAnsi="Times New Roman" w:cs="Times New Roman"/>
          <w:sz w:val="24"/>
          <w:szCs w:val="24"/>
        </w:rPr>
        <w:t>6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45</w:t>
      </w:r>
      <w:r w:rsidR="001E3A02">
        <w:rPr>
          <w:rFonts w:ascii="Times New Roman" w:eastAsia="Times New Roman" w:hAnsi="Times New Roman" w:cs="Times New Roman"/>
          <w:sz w:val="24"/>
          <w:szCs w:val="24"/>
        </w:rPr>
        <w:t xml:space="preserve"> чел. </w:t>
      </w:r>
    </w:p>
    <w:p w:rsidR="00A937F6" w:rsidRPr="001A78E3" w:rsidRDefault="00A937F6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8E3">
        <w:rPr>
          <w:rFonts w:ascii="Times New Roman" w:eastAsia="Times New Roman" w:hAnsi="Times New Roman" w:cs="Times New Roman"/>
          <w:sz w:val="24"/>
          <w:szCs w:val="24"/>
        </w:rPr>
        <w:t>Большая часть трудового населения занято в работе:</w:t>
      </w:r>
      <w:r w:rsidRPr="001A7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8E3">
        <w:rPr>
          <w:rFonts w:ascii="Times New Roman" w:eastAsia="Times New Roman" w:hAnsi="Times New Roman" w:cs="Times New Roman"/>
          <w:sz w:val="24"/>
          <w:szCs w:val="24"/>
        </w:rPr>
        <w:t>4-х крестьянско-фермерских хозяйств</w:t>
      </w:r>
      <w:r w:rsidR="00AE316A" w:rsidRPr="001A78E3">
        <w:rPr>
          <w:rFonts w:ascii="Times New Roman" w:eastAsia="Times New Roman" w:hAnsi="Times New Roman" w:cs="Times New Roman"/>
          <w:sz w:val="24"/>
          <w:szCs w:val="24"/>
        </w:rPr>
        <w:t>, ООО «Брянская мясная компания»</w:t>
      </w:r>
      <w:r w:rsidRPr="001A78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37F6" w:rsidRPr="001A78E3" w:rsidRDefault="00A937F6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8E3">
        <w:rPr>
          <w:rFonts w:ascii="Times New Roman" w:eastAsia="Times New Roman" w:hAnsi="Times New Roman" w:cs="Times New Roman"/>
          <w:sz w:val="24"/>
          <w:szCs w:val="24"/>
        </w:rPr>
        <w:t>Инвестиции в основной капитал планируется в сельскохозяйственных предприятиях на воспроизводство стада КРС.</w:t>
      </w:r>
    </w:p>
    <w:p w:rsidR="00A937F6" w:rsidRPr="001A78E3" w:rsidRDefault="00A937F6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8E3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на территории поселения не планируется. </w:t>
      </w:r>
    </w:p>
    <w:p w:rsidR="00A937F6" w:rsidRPr="001A78E3" w:rsidRDefault="00A937F6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8E3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населения </w:t>
      </w:r>
      <w:proofErr w:type="spellStart"/>
      <w:r w:rsidRPr="001A78E3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1A78E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товарами первой необходимости производят </w:t>
      </w:r>
      <w:r w:rsidR="003000A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78E3">
        <w:rPr>
          <w:rFonts w:ascii="Times New Roman" w:eastAsia="Times New Roman" w:hAnsi="Times New Roman" w:cs="Times New Roman"/>
          <w:sz w:val="24"/>
          <w:szCs w:val="24"/>
        </w:rPr>
        <w:t xml:space="preserve"> магазинов индивидуальных предпринимателей. Объекты общественного питания на территории поселения отсутствуют.</w:t>
      </w:r>
    </w:p>
    <w:p w:rsidR="00A937F6" w:rsidRPr="001A78E3" w:rsidRDefault="00A937F6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8E3">
        <w:rPr>
          <w:rFonts w:ascii="Times New Roman" w:eastAsia="Times New Roman" w:hAnsi="Times New Roman" w:cs="Times New Roman"/>
          <w:sz w:val="24"/>
          <w:szCs w:val="24"/>
        </w:rPr>
        <w:t xml:space="preserve">Транспортное сообщение на территории поселения обеспечивается </w:t>
      </w:r>
      <w:r w:rsidR="003000A8">
        <w:rPr>
          <w:rFonts w:ascii="Times New Roman" w:eastAsia="Times New Roman" w:hAnsi="Times New Roman" w:cs="Times New Roman"/>
          <w:sz w:val="24"/>
          <w:szCs w:val="24"/>
        </w:rPr>
        <w:t>ИП Гайдук</w:t>
      </w:r>
      <w:r w:rsidRPr="001A78E3">
        <w:rPr>
          <w:rFonts w:ascii="Times New Roman" w:eastAsia="Times New Roman" w:hAnsi="Times New Roman" w:cs="Times New Roman"/>
          <w:sz w:val="24"/>
          <w:szCs w:val="24"/>
        </w:rPr>
        <w:t>. Для успешного развития экономики необходимо поддерживать сообщение между всеми населенными пунктами.</w:t>
      </w:r>
    </w:p>
    <w:p w:rsidR="00D334CF" w:rsidRPr="00E82FBE" w:rsidRDefault="00B92758" w:rsidP="00A901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33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 характеристика проекта решения</w:t>
      </w:r>
      <w:r w:rsidR="008476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334CF"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 бюджете </w:t>
      </w:r>
      <w:proofErr w:type="spellStart"/>
      <w:r w:rsidR="00D334CF">
        <w:rPr>
          <w:rFonts w:ascii="Times New Roman" w:eastAsia="Times New Roman" w:hAnsi="Times New Roman" w:cs="Times New Roman"/>
          <w:b/>
          <w:bCs/>
          <w:sz w:val="24"/>
          <w:szCs w:val="24"/>
        </w:rPr>
        <w:t>Нивнянского</w:t>
      </w:r>
      <w:proofErr w:type="spellEnd"/>
      <w:r w:rsidR="00D334CF"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</w:t>
      </w:r>
      <w:r w:rsidR="00D334CF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="00D334CF"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 w:rsidR="00D334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Суражского </w:t>
      </w:r>
      <w:r w:rsidR="00D334CF"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D334CF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Брянской области</w:t>
      </w:r>
      <w:r w:rsidR="00D334CF"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D3688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  <w:r w:rsidR="00D334CF" w:rsidRPr="00E82FB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D334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20511" w:rsidRDefault="00BE1C01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01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proofErr w:type="spellStart"/>
      <w:r w:rsidRPr="00BE1C01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BE1C0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внесен в Контрольно-счётную палату Суражского муниципального района 1</w:t>
      </w:r>
      <w:r w:rsidR="00ED06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1C01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1C0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F45CC">
        <w:rPr>
          <w:rFonts w:ascii="Times New Roman" w:eastAsia="Times New Roman" w:hAnsi="Times New Roman" w:cs="Times New Roman"/>
          <w:sz w:val="24"/>
          <w:szCs w:val="24"/>
        </w:rPr>
        <w:t xml:space="preserve">, что не противоречит </w:t>
      </w:r>
      <w:r w:rsidR="007F45CC" w:rsidRPr="007F45CC">
        <w:rPr>
          <w:rFonts w:ascii="Times New Roman" w:eastAsia="Times New Roman" w:hAnsi="Times New Roman" w:cs="Times New Roman"/>
          <w:sz w:val="24"/>
          <w:szCs w:val="24"/>
        </w:rPr>
        <w:t>п. 1 ст. 185 Бюджетного кодекса РФ.</w:t>
      </w:r>
    </w:p>
    <w:p w:rsidR="00B92758" w:rsidRPr="00D22902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902"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184.2 Бюджетного Кодекса РФ, одновременно с проектом Решения представлены следующие документы:</w:t>
      </w:r>
    </w:p>
    <w:p w:rsidR="00B92758" w:rsidRPr="00D22902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1.   Прогноз социально-экономического развития </w:t>
      </w:r>
      <w:proofErr w:type="spellStart"/>
      <w:r w:rsidR="004209CC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 и на период до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B92758" w:rsidRPr="00D22902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2.    Пояснительная записка к проекту бюджета </w:t>
      </w:r>
      <w:proofErr w:type="spellStart"/>
      <w:r w:rsidR="004209CC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2758" w:rsidRPr="00D22902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3.   Основные направления бюджетной и налоговой политики </w:t>
      </w:r>
      <w:proofErr w:type="spellStart"/>
      <w:r w:rsidR="004209CC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="004209CC" w:rsidRPr="00D22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2758" w:rsidRPr="00D22902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4. Предварительные итоги социально-экономического развития </w:t>
      </w:r>
      <w:proofErr w:type="spellStart"/>
      <w:r w:rsidR="004209CC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="004209CC" w:rsidRPr="00D22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за 9 месяцев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229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 ожидаемые </w:t>
      </w:r>
      <w:r w:rsidRPr="00D22902">
        <w:rPr>
          <w:rFonts w:ascii="Times New Roman" w:eastAsia="Times New Roman" w:hAnsi="Times New Roman" w:cs="Times New Roman"/>
          <w:spacing w:val="2"/>
          <w:sz w:val="24"/>
          <w:szCs w:val="24"/>
        </w:rPr>
        <w:t>итоги социально-экономического развития соответствующей территории за теку</w:t>
      </w:r>
      <w:r w:rsidRPr="00D22902">
        <w:rPr>
          <w:rFonts w:ascii="Times New Roman" w:eastAsia="Times New Roman" w:hAnsi="Times New Roman" w:cs="Times New Roman"/>
          <w:spacing w:val="-1"/>
          <w:sz w:val="24"/>
          <w:szCs w:val="24"/>
        </w:rPr>
        <w:t>щий финансовый год</w:t>
      </w:r>
    </w:p>
    <w:p w:rsidR="00B92758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902">
        <w:rPr>
          <w:rFonts w:ascii="Times New Roman" w:eastAsia="Times New Roman" w:hAnsi="Times New Roman" w:cs="Times New Roman"/>
          <w:sz w:val="24"/>
          <w:szCs w:val="24"/>
        </w:rPr>
        <w:t xml:space="preserve">5. Оценка ожидаемого исполнения бюджета за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229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B8C" w:rsidRPr="00D22902" w:rsidRDefault="00A065D9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80B8C">
        <w:rPr>
          <w:rFonts w:ascii="Times New Roman" w:eastAsia="Times New Roman" w:hAnsi="Times New Roman" w:cs="Times New Roman"/>
          <w:sz w:val="24"/>
          <w:szCs w:val="24"/>
        </w:rPr>
        <w:t>. Реестры источников доходов бюджетной системы РФ.</w:t>
      </w:r>
    </w:p>
    <w:p w:rsidR="00E42592" w:rsidRDefault="00A065D9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42592" w:rsidRPr="00D22902">
        <w:rPr>
          <w:rFonts w:ascii="Times New Roman" w:eastAsia="Times New Roman" w:hAnsi="Times New Roman" w:cs="Times New Roman"/>
          <w:sz w:val="24"/>
          <w:szCs w:val="24"/>
        </w:rPr>
        <w:t>. Паспорта муниципальных программ.</w:t>
      </w:r>
    </w:p>
    <w:p w:rsidR="00773371" w:rsidRPr="002440F8" w:rsidRDefault="00577CB5" w:rsidP="00577C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440F8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773371" w:rsidRPr="002440F8">
        <w:rPr>
          <w:rFonts w:ascii="Times New Roman" w:eastAsia="Times New Roman" w:hAnsi="Times New Roman" w:cs="Times New Roman"/>
          <w:sz w:val="24"/>
          <w:szCs w:val="24"/>
        </w:rPr>
        <w:t xml:space="preserve">Бюджетный прогноз на долгосрочный период </w:t>
      </w:r>
      <w:r w:rsidRPr="002440F8">
        <w:rPr>
          <w:rFonts w:ascii="Times New Roman" w:eastAsia="Times New Roman" w:hAnsi="Times New Roman" w:cs="Times New Roman"/>
          <w:sz w:val="24"/>
          <w:szCs w:val="24"/>
        </w:rPr>
        <w:t>до 20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440F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73371" w:rsidRPr="002440F8">
        <w:rPr>
          <w:rFonts w:ascii="Times New Roman" w:eastAsia="Times New Roman" w:hAnsi="Times New Roman" w:cs="Times New Roman"/>
          <w:sz w:val="24"/>
          <w:szCs w:val="24"/>
        </w:rPr>
        <w:t>(6 лет).</w:t>
      </w:r>
    </w:p>
    <w:p w:rsidR="00B92758" w:rsidRPr="00C84B76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о бюджете основывается на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политике). </w:t>
      </w:r>
    </w:p>
    <w:p w:rsidR="00B92758" w:rsidRPr="00C84B76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 w:rsidR="004209CC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="00F04235" w:rsidRPr="00C84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077E8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ы разработаны с учетом положений основных </w:t>
      </w:r>
      <w:hyperlink r:id="rId11" w:history="1">
        <w:r w:rsidRPr="00C84B76">
          <w:rPr>
            <w:rFonts w:ascii="Times New Roman" w:eastAsia="Times New Roman" w:hAnsi="Times New Roman" w:cs="Times New Roman"/>
            <w:sz w:val="24"/>
            <w:szCs w:val="24"/>
          </w:rPr>
          <w:t>направлений</w:t>
        </w:r>
      </w:hyperlink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 бюджетной и налоговой политики Российской Федерации, Указа Президента Российской Федерации «О мероприятиях по реализации государственной социальной политики» и направлены на развитие экономики, социальной стабильности, повышения уровня собираемости собственных доходов</w:t>
      </w:r>
      <w:r w:rsidR="001C2499">
        <w:rPr>
          <w:rFonts w:ascii="Times New Roman" w:eastAsia="Times New Roman" w:hAnsi="Times New Roman" w:cs="Times New Roman"/>
          <w:sz w:val="24"/>
          <w:szCs w:val="24"/>
        </w:rPr>
        <w:t xml:space="preserve"> и утверждены постановлением от </w:t>
      </w:r>
      <w:r w:rsidR="00EC640F">
        <w:rPr>
          <w:rFonts w:ascii="Times New Roman" w:eastAsia="Times New Roman" w:hAnsi="Times New Roman" w:cs="Times New Roman"/>
          <w:sz w:val="24"/>
          <w:szCs w:val="24"/>
        </w:rPr>
        <w:t>30</w:t>
      </w:r>
      <w:r w:rsidR="001C2499">
        <w:rPr>
          <w:rFonts w:ascii="Times New Roman" w:eastAsia="Times New Roman" w:hAnsi="Times New Roman" w:cs="Times New Roman"/>
          <w:sz w:val="24"/>
          <w:szCs w:val="24"/>
        </w:rPr>
        <w:t>.10.202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2499">
        <w:rPr>
          <w:rFonts w:ascii="Times New Roman" w:eastAsia="Times New Roman" w:hAnsi="Times New Roman" w:cs="Times New Roman"/>
          <w:sz w:val="24"/>
          <w:szCs w:val="24"/>
        </w:rPr>
        <w:t xml:space="preserve"> года№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B92758" w:rsidRPr="00C84B76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169 Бюджетного Кодекса РФ, проект бюджета составлен на основе прогноза социально-экономического развития </w:t>
      </w:r>
      <w:proofErr w:type="spellStart"/>
      <w:r w:rsidR="004209CC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 и на период до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84B76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B92758" w:rsidRPr="00C84B76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Исполнена статья 184.1 БК РФ в части состава </w:t>
      </w:r>
      <w:r w:rsidR="00085624">
        <w:rPr>
          <w:rFonts w:ascii="Times New Roman" w:eastAsia="Times New Roman" w:hAnsi="Times New Roman" w:cs="Times New Roman"/>
          <w:sz w:val="24"/>
          <w:szCs w:val="24"/>
        </w:rPr>
        <w:t>основных характеристик</w:t>
      </w:r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, утверждаемых в проекте бюджета </w:t>
      </w:r>
      <w:proofErr w:type="spellStart"/>
      <w:r w:rsidR="004209CC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Суражского района:</w:t>
      </w:r>
    </w:p>
    <w:p w:rsidR="00B92758" w:rsidRPr="005D2F8F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Wingdings" w:eastAsia="Times New Roman" w:hAnsi="Wingdings" w:cs="Times New Roman"/>
          <w:sz w:val="24"/>
          <w:szCs w:val="24"/>
        </w:rPr>
        <w:t>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доходов бюджета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>  –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3732,3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B92758" w:rsidRPr="005D2F8F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Wingdings" w:eastAsia="Times New Roman" w:hAnsi="Wingdings" w:cs="Times New Roman"/>
          <w:sz w:val="24"/>
          <w:szCs w:val="24"/>
        </w:rPr>
        <w:t>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    общий объем расходов бюджета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A4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3732,3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B92758" w:rsidRPr="005D2F8F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Wingdings" w:eastAsia="Times New Roman" w:hAnsi="Wingdings" w:cs="Times New Roman"/>
          <w:sz w:val="24"/>
          <w:szCs w:val="24"/>
        </w:rPr>
        <w:t>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    дефицит бюджета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– в сумме </w:t>
      </w:r>
      <w:r w:rsidR="005A4EC7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B92758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Кроме того, в соответствии с указанной статьей, проектом </w:t>
      </w:r>
      <w:proofErr w:type="gramStart"/>
      <w:r w:rsidRPr="005D2F8F">
        <w:rPr>
          <w:rFonts w:ascii="Times New Roman" w:eastAsia="Times New Roman" w:hAnsi="Times New Roman" w:cs="Times New Roman"/>
          <w:sz w:val="24"/>
          <w:szCs w:val="24"/>
        </w:rPr>
        <w:t>утверждены</w:t>
      </w:r>
      <w:proofErr w:type="gramEnd"/>
      <w:r w:rsidRPr="005D2F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4559" w:rsidRPr="00994559" w:rsidRDefault="00994559" w:rsidP="00A901EC">
      <w:pPr>
        <w:pStyle w:val="af4"/>
        <w:numPr>
          <w:ilvl w:val="0"/>
          <w:numId w:val="5"/>
        </w:numPr>
        <w:spacing w:line="276" w:lineRule="auto"/>
        <w:ind w:left="1134" w:hanging="720"/>
        <w:jc w:val="both"/>
        <w:rPr>
          <w:rFonts w:ascii="Wingdings" w:hAnsi="Wingdings"/>
          <w:sz w:val="24"/>
          <w:szCs w:val="24"/>
        </w:rPr>
      </w:pPr>
      <w:r w:rsidRPr="00994559">
        <w:rPr>
          <w:sz w:val="24"/>
          <w:szCs w:val="24"/>
        </w:rPr>
        <w:t xml:space="preserve">проектом установлены основные характеристики бюджета </w:t>
      </w:r>
      <w:proofErr w:type="spellStart"/>
      <w:r w:rsidRPr="00994559">
        <w:rPr>
          <w:sz w:val="24"/>
          <w:szCs w:val="24"/>
        </w:rPr>
        <w:t>Нивнянского</w:t>
      </w:r>
      <w:proofErr w:type="spellEnd"/>
      <w:r w:rsidRPr="00994559">
        <w:rPr>
          <w:sz w:val="24"/>
          <w:szCs w:val="24"/>
        </w:rPr>
        <w:t xml:space="preserve"> сельского поселения  на </w:t>
      </w:r>
      <w:r w:rsidR="00BD3688">
        <w:rPr>
          <w:sz w:val="24"/>
          <w:szCs w:val="24"/>
        </w:rPr>
        <w:t>2026-2027</w:t>
      </w:r>
      <w:r w:rsidRPr="00994559">
        <w:rPr>
          <w:sz w:val="24"/>
          <w:szCs w:val="24"/>
        </w:rPr>
        <w:t xml:space="preserve"> годы</w:t>
      </w:r>
      <w:r w:rsidR="00271164">
        <w:rPr>
          <w:sz w:val="24"/>
          <w:szCs w:val="24"/>
        </w:rPr>
        <w:t>;</w:t>
      </w:r>
      <w:r w:rsidRPr="00994559">
        <w:rPr>
          <w:rFonts w:ascii="Wingdings" w:hAnsi="Wingdings"/>
          <w:sz w:val="24"/>
          <w:szCs w:val="24"/>
        </w:rPr>
        <w:t></w:t>
      </w:r>
    </w:p>
    <w:p w:rsidR="00B92758" w:rsidRPr="005D2F8F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Wingdings" w:eastAsia="Times New Roman" w:hAnsi="Wingdings" w:cs="Times New Roman"/>
          <w:sz w:val="24"/>
          <w:szCs w:val="24"/>
        </w:rPr>
        <w:t>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>     перечень главных администраторов доходов бюджета;</w:t>
      </w:r>
    </w:p>
    <w:p w:rsidR="00B92758" w:rsidRPr="005D2F8F" w:rsidRDefault="00B92758" w:rsidP="00A901EC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D2F8F">
        <w:rPr>
          <w:rFonts w:ascii="Wingdings" w:eastAsia="Times New Roman" w:hAnsi="Wingdings" w:cs="Arial"/>
          <w:sz w:val="24"/>
          <w:szCs w:val="24"/>
        </w:rPr>
        <w:t>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   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муниципальным программам и непрограммным направлениям деятельности, группам (группам и подгруппам) видов расходов и (или) по целевым статьям муниципальным программам и непрограммным направлениям деятельности, группам 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lastRenderedPageBreak/>
        <w:t>(группам и подгруппам) видов расходов классификации расходов бюджетов на очередной финансовый год, а также по разделам</w:t>
      </w:r>
      <w:proofErr w:type="gramEnd"/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и подразделам классификации расходов бюджетов в случаях, установленных соответственно Бюджетным Кодексом, законом субъекта Российской Федерации, муниципальным правовым актом представительного органа муниципального образования;</w:t>
      </w:r>
    </w:p>
    <w:p w:rsidR="00B92758" w:rsidRPr="005D2F8F" w:rsidRDefault="00B92758" w:rsidP="00A901EC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D2F8F">
        <w:rPr>
          <w:rFonts w:ascii="Wingdings" w:eastAsia="Times New Roman" w:hAnsi="Wingdings" w:cs="Arial"/>
          <w:sz w:val="24"/>
          <w:szCs w:val="24"/>
        </w:rPr>
        <w:t>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>     ведомственная структура расходов бюджета на очередной финансовый год;</w:t>
      </w:r>
    </w:p>
    <w:p w:rsidR="00B92758" w:rsidRPr="005D2F8F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Wingdings" w:eastAsia="Times New Roman" w:hAnsi="Wingdings" w:cs="Times New Roman"/>
          <w:sz w:val="24"/>
          <w:szCs w:val="24"/>
        </w:rPr>
        <w:t>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>   объемы межбюджетных трансфертов, получаемых из других бюджетов бюджетной системы</w:t>
      </w:r>
    </w:p>
    <w:p w:rsidR="00B92758" w:rsidRPr="005D2F8F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- 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2601,3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B92758" w:rsidRPr="005D2F8F" w:rsidRDefault="00B92758" w:rsidP="00A901EC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424,4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B92758" w:rsidRDefault="00B92758" w:rsidP="00A901EC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430,6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DD2F9C" w:rsidRPr="005D2F8F" w:rsidRDefault="00DD2F9C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Wingdings" w:eastAsia="Times New Roman" w:hAnsi="Wingdings" w:cs="Times New Roman"/>
          <w:sz w:val="24"/>
          <w:szCs w:val="24"/>
        </w:rPr>
        <w:t>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    объемы межбюджетных трансфертов, </w:t>
      </w:r>
      <w:r>
        <w:rPr>
          <w:rFonts w:ascii="Times New Roman" w:eastAsia="Times New Roman" w:hAnsi="Times New Roman" w:cs="Times New Roman"/>
          <w:sz w:val="24"/>
          <w:szCs w:val="24"/>
        </w:rPr>
        <w:t>передаваемых поселением:</w:t>
      </w:r>
    </w:p>
    <w:p w:rsidR="00DD2F9C" w:rsidRPr="005D2F8F" w:rsidRDefault="00DD2F9C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- 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DD2F9C" w:rsidRPr="005D2F8F" w:rsidRDefault="00DD2F9C" w:rsidP="00A901EC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DD2F9C" w:rsidRPr="005D2F8F" w:rsidRDefault="00DD2F9C" w:rsidP="00A901EC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D6125D" w:rsidRPr="005D2F8F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Wingdings" w:eastAsia="Times New Roman" w:hAnsi="Wingdings" w:cs="Times New Roman"/>
          <w:sz w:val="24"/>
          <w:szCs w:val="24"/>
        </w:rPr>
        <w:t>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="00D6125D" w:rsidRPr="005D2F8F">
        <w:rPr>
          <w:rFonts w:ascii="Times New Roman" w:eastAsia="Times New Roman" w:hAnsi="Times New Roman" w:cs="Times New Roman"/>
          <w:sz w:val="24"/>
          <w:szCs w:val="24"/>
        </w:rPr>
        <w:t>верхний предел муниципального внутреннего долга на 01.01.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6125D" w:rsidRPr="005D2F8F">
        <w:rPr>
          <w:rFonts w:ascii="Times New Roman" w:eastAsia="Times New Roman" w:hAnsi="Times New Roman" w:cs="Times New Roman"/>
          <w:sz w:val="24"/>
          <w:szCs w:val="24"/>
        </w:rPr>
        <w:t>а, на 01.01.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D6125D" w:rsidRPr="005D2F8F">
        <w:rPr>
          <w:rFonts w:ascii="Times New Roman" w:eastAsia="Times New Roman" w:hAnsi="Times New Roman" w:cs="Times New Roman"/>
          <w:sz w:val="24"/>
          <w:szCs w:val="24"/>
        </w:rPr>
        <w:t>года,  на 01.01.202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8</w:t>
      </w:r>
      <w:r w:rsidR="00D6125D" w:rsidRPr="005D2F8F">
        <w:rPr>
          <w:rFonts w:ascii="Times New Roman" w:eastAsia="Times New Roman" w:hAnsi="Times New Roman" w:cs="Times New Roman"/>
          <w:sz w:val="24"/>
          <w:szCs w:val="24"/>
        </w:rPr>
        <w:t xml:space="preserve"> года в сумме 0 рублей.</w:t>
      </w:r>
    </w:p>
    <w:p w:rsidR="00B92758" w:rsidRPr="005D2F8F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Wingdings" w:eastAsia="Times New Roman" w:hAnsi="Wingdings" w:cs="Times New Roman"/>
          <w:sz w:val="24"/>
          <w:szCs w:val="24"/>
        </w:rPr>
        <w:t>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    дополнительно проектом установлен размер резервного фонда </w:t>
      </w:r>
      <w:proofErr w:type="spellStart"/>
      <w:r w:rsidR="00620D92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</w:p>
    <w:p w:rsidR="00B92758" w:rsidRPr="005D2F8F" w:rsidRDefault="00B92758" w:rsidP="00A901EC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>,0 тыс. рублей;</w:t>
      </w:r>
    </w:p>
    <w:p w:rsidR="00B92758" w:rsidRPr="005D2F8F" w:rsidRDefault="00B92758" w:rsidP="00A901EC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>,0 тыс. рублей;</w:t>
      </w:r>
    </w:p>
    <w:p w:rsidR="00B92758" w:rsidRPr="005D2F8F" w:rsidRDefault="00B92758" w:rsidP="00A901EC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- 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  –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>,0 тыс. рублей.</w:t>
      </w:r>
    </w:p>
    <w:p w:rsidR="00B92758" w:rsidRPr="005D2F8F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 xml:space="preserve">Размер резервного фонда в проекте бюджета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D2F8F">
        <w:rPr>
          <w:rFonts w:ascii="Times New Roman" w:eastAsia="Times New Roman" w:hAnsi="Times New Roman" w:cs="Times New Roman"/>
          <w:sz w:val="24"/>
          <w:szCs w:val="24"/>
        </w:rPr>
        <w:t>  и на плановый период не превышает установленное статьей 81 БК РФ ограничение 3,0% общего объема расходов.</w:t>
      </w:r>
    </w:p>
    <w:p w:rsidR="00B92758" w:rsidRDefault="005D2F8F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19A9">
        <w:rPr>
          <w:rFonts w:ascii="Wingdings" w:eastAsia="Times New Roman" w:hAnsi="Wingdings" w:cs="Times New Roman"/>
          <w:sz w:val="24"/>
          <w:szCs w:val="24"/>
        </w:rPr>
        <w:t></w:t>
      </w:r>
      <w:r w:rsidRPr="00C819A9">
        <w:rPr>
          <w:rFonts w:ascii="Times New Roman" w:eastAsia="Times New Roman" w:hAnsi="Times New Roman" w:cs="Times New Roman"/>
          <w:sz w:val="24"/>
          <w:szCs w:val="24"/>
        </w:rPr>
        <w:t xml:space="preserve"> в проекте </w:t>
      </w:r>
      <w:r w:rsidR="00B92758" w:rsidRPr="00C819A9">
        <w:rPr>
          <w:rFonts w:ascii="Times New Roman" w:eastAsia="Times New Roman" w:hAnsi="Times New Roman" w:cs="Times New Roman"/>
          <w:sz w:val="24"/>
          <w:szCs w:val="24"/>
        </w:rPr>
        <w:t>предусмотрено, что остатки средств местного бюджета на начало текущего финансового года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</w:t>
      </w:r>
      <w:proofErr w:type="gramEnd"/>
      <w:r w:rsidR="00B92758" w:rsidRPr="00C819A9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gramStart"/>
      <w:r w:rsidR="00B92758" w:rsidRPr="00C819A9">
        <w:rPr>
          <w:rFonts w:ascii="Times New Roman" w:eastAsia="Times New Roman" w:hAnsi="Times New Roman" w:cs="Times New Roman"/>
          <w:sz w:val="24"/>
          <w:szCs w:val="24"/>
        </w:rPr>
        <w:t>превышающем</w:t>
      </w:r>
      <w:proofErr w:type="gramEnd"/>
      <w:r w:rsidR="00B92758" w:rsidRPr="00C819A9">
        <w:rPr>
          <w:rFonts w:ascii="Times New Roman" w:eastAsia="Times New Roman" w:hAnsi="Times New Roman" w:cs="Times New Roman"/>
          <w:sz w:val="24"/>
          <w:szCs w:val="24"/>
        </w:rPr>
        <w:t xml:space="preserve"> сумму остатка неиспользованных бюджетных ассигнований на указанные цели.</w:t>
      </w:r>
    </w:p>
    <w:p w:rsidR="00C819A9" w:rsidRPr="00766982" w:rsidRDefault="00C819A9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> Условно утверждаемые расходы планового периода.</w:t>
      </w:r>
    </w:p>
    <w:p w:rsidR="00C819A9" w:rsidRPr="00766982" w:rsidRDefault="00C819A9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982">
        <w:rPr>
          <w:rFonts w:ascii="Wingdings" w:eastAsia="Times New Roman" w:hAnsi="Wingdings" w:cs="Times New Roman"/>
          <w:sz w:val="24"/>
          <w:szCs w:val="24"/>
        </w:rPr>
        <w:t></w:t>
      </w:r>
      <w:r w:rsidRPr="00766982">
        <w:rPr>
          <w:rFonts w:ascii="Times New Roman" w:eastAsia="Times New Roman" w:hAnsi="Times New Roman" w:cs="Times New Roman"/>
          <w:sz w:val="24"/>
          <w:szCs w:val="24"/>
        </w:rPr>
        <w:t xml:space="preserve"> перечень главных </w:t>
      </w:r>
      <w:proofErr w:type="gramStart"/>
      <w:r w:rsidRPr="00766982">
        <w:rPr>
          <w:rFonts w:ascii="Times New Roman" w:eastAsia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7669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758" w:rsidRDefault="00C819A9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58">
        <w:rPr>
          <w:rFonts w:ascii="Wingdings" w:eastAsia="Times New Roman" w:hAnsi="Wingdings" w:cs="Times New Roman"/>
          <w:sz w:val="24"/>
          <w:szCs w:val="24"/>
        </w:rPr>
        <w:t></w:t>
      </w:r>
      <w:r w:rsidRPr="00671F58">
        <w:rPr>
          <w:rFonts w:ascii="Wingdings" w:eastAsia="Times New Roman" w:hAnsi="Wingdings" w:cs="Times New Roman"/>
          <w:sz w:val="24"/>
          <w:szCs w:val="24"/>
        </w:rPr>
        <w:t></w:t>
      </w:r>
      <w:r w:rsidRPr="00671F5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92758" w:rsidRPr="00671F58">
        <w:rPr>
          <w:rFonts w:ascii="Times New Roman" w:eastAsia="Times New Roman" w:hAnsi="Times New Roman" w:cs="Times New Roman"/>
          <w:sz w:val="24"/>
          <w:szCs w:val="24"/>
        </w:rPr>
        <w:t xml:space="preserve">редоставление бюджетных кредитов и муниципальных гарантий </w:t>
      </w:r>
      <w:proofErr w:type="spellStart"/>
      <w:r w:rsidR="008971EC">
        <w:rPr>
          <w:rFonts w:ascii="Times New Roman" w:eastAsia="Times New Roman" w:hAnsi="Times New Roman" w:cs="Times New Roman"/>
          <w:sz w:val="24"/>
          <w:szCs w:val="24"/>
        </w:rPr>
        <w:t>Нивнянским</w:t>
      </w:r>
      <w:proofErr w:type="spellEnd"/>
      <w:r w:rsidR="008971EC" w:rsidRPr="00671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758" w:rsidRPr="00671F58">
        <w:rPr>
          <w:rFonts w:ascii="Times New Roman" w:eastAsia="Times New Roman" w:hAnsi="Times New Roman" w:cs="Times New Roman"/>
          <w:sz w:val="24"/>
          <w:szCs w:val="24"/>
        </w:rPr>
        <w:t xml:space="preserve">сельским поселением в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0237F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92758" w:rsidRPr="00671F58">
        <w:rPr>
          <w:rFonts w:ascii="Times New Roman" w:eastAsia="Times New Roman" w:hAnsi="Times New Roman" w:cs="Times New Roman"/>
          <w:sz w:val="24"/>
          <w:szCs w:val="24"/>
        </w:rPr>
        <w:t>у не планируется.</w:t>
      </w:r>
    </w:p>
    <w:p w:rsidR="00096859" w:rsidRDefault="008E60B9" w:rsidP="008E60B9">
      <w:pPr>
        <w:pStyle w:val="af4"/>
        <w:numPr>
          <w:ilvl w:val="0"/>
          <w:numId w:val="24"/>
        </w:numPr>
        <w:tabs>
          <w:tab w:val="left" w:pos="709"/>
        </w:tabs>
        <w:ind w:left="1134" w:hanging="425"/>
        <w:jc w:val="both"/>
        <w:rPr>
          <w:sz w:val="24"/>
          <w:szCs w:val="24"/>
        </w:rPr>
      </w:pPr>
      <w:r w:rsidRPr="009262EF">
        <w:rPr>
          <w:sz w:val="24"/>
          <w:szCs w:val="24"/>
        </w:rPr>
        <w:t xml:space="preserve">Объем </w:t>
      </w:r>
      <w:r w:rsidR="00096859" w:rsidRPr="009262EF">
        <w:rPr>
          <w:sz w:val="24"/>
          <w:szCs w:val="24"/>
        </w:rPr>
        <w:t>публичных нормативных обязательств.</w:t>
      </w:r>
    </w:p>
    <w:p w:rsidR="00F35B5E" w:rsidRPr="00F35B5E" w:rsidRDefault="00F35B5E" w:rsidP="00F35B5E">
      <w:pPr>
        <w:tabs>
          <w:tab w:val="left" w:pos="0"/>
          <w:tab w:val="left" w:pos="6663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5B5E">
        <w:rPr>
          <w:rFonts w:ascii="Times New Roman" w:hAnsi="Times New Roman" w:cs="Times New Roman"/>
          <w:sz w:val="24"/>
          <w:szCs w:val="24"/>
        </w:rPr>
        <w:t xml:space="preserve">     При изучении проекта Решения о бюджете на 2025 год и плановый период 2026-2027 годов и приложений к нему, установлено, что </w:t>
      </w:r>
      <w:r w:rsidRPr="00F35B5E">
        <w:rPr>
          <w:rFonts w:ascii="Times New Roman" w:hAnsi="Times New Roman" w:cs="Times New Roman"/>
          <w:b/>
          <w:i/>
          <w:sz w:val="24"/>
          <w:szCs w:val="24"/>
        </w:rPr>
        <w:t>в нарушение ст. 184.1 Бюджетного кодекса РФ приложения представлены не в полном объеме, а именно отсутствует:</w:t>
      </w:r>
    </w:p>
    <w:p w:rsidR="00F35B5E" w:rsidRPr="00F35B5E" w:rsidRDefault="00F35B5E" w:rsidP="00F35B5E">
      <w:pPr>
        <w:tabs>
          <w:tab w:val="left" w:pos="0"/>
          <w:tab w:val="left" w:pos="6663"/>
        </w:tabs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5B5E">
        <w:rPr>
          <w:rFonts w:ascii="Times New Roman" w:hAnsi="Times New Roman" w:cs="Times New Roman"/>
          <w:b/>
          <w:i/>
          <w:sz w:val="24"/>
          <w:szCs w:val="24"/>
        </w:rPr>
        <w:t xml:space="preserve">- приложение №7 «Программа муниципальных внутренних заимствований </w:t>
      </w:r>
      <w:proofErr w:type="spellStart"/>
      <w:r w:rsidR="00697583">
        <w:rPr>
          <w:rFonts w:ascii="Times New Roman" w:hAnsi="Times New Roman" w:cs="Times New Roman"/>
          <w:b/>
          <w:i/>
          <w:sz w:val="24"/>
          <w:szCs w:val="24"/>
        </w:rPr>
        <w:t>Нивнянского</w:t>
      </w:r>
      <w:proofErr w:type="spellEnd"/>
      <w:r w:rsidRPr="00F35B5E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годов»;</w:t>
      </w:r>
    </w:p>
    <w:p w:rsidR="00F35B5E" w:rsidRPr="00F35B5E" w:rsidRDefault="00F35B5E" w:rsidP="00F35B5E">
      <w:pPr>
        <w:tabs>
          <w:tab w:val="left" w:pos="0"/>
          <w:tab w:val="left" w:pos="6663"/>
        </w:tabs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5B5E">
        <w:rPr>
          <w:rFonts w:ascii="Times New Roman" w:hAnsi="Times New Roman" w:cs="Times New Roman"/>
          <w:b/>
          <w:i/>
          <w:sz w:val="24"/>
          <w:szCs w:val="24"/>
        </w:rPr>
        <w:t xml:space="preserve">-  приложение №8 «Распределение межбюджетных трансфертов, предоставляемых другим бюджетам бюджетной системы Российской Федерации из бюджета </w:t>
      </w:r>
      <w:proofErr w:type="spellStart"/>
      <w:r w:rsidR="00697583">
        <w:rPr>
          <w:rFonts w:ascii="Times New Roman" w:hAnsi="Times New Roman" w:cs="Times New Roman"/>
          <w:b/>
          <w:i/>
          <w:sz w:val="24"/>
          <w:szCs w:val="24"/>
        </w:rPr>
        <w:lastRenderedPageBreak/>
        <w:t>Нивнянского</w:t>
      </w:r>
      <w:proofErr w:type="spellEnd"/>
      <w:r w:rsidRPr="00F35B5E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годов»;</w:t>
      </w:r>
    </w:p>
    <w:p w:rsidR="00F35B5E" w:rsidRPr="00F35B5E" w:rsidRDefault="00F35B5E" w:rsidP="00F35B5E">
      <w:pPr>
        <w:tabs>
          <w:tab w:val="left" w:pos="0"/>
          <w:tab w:val="left" w:pos="6663"/>
        </w:tabs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5B5E">
        <w:rPr>
          <w:rFonts w:ascii="Times New Roman" w:hAnsi="Times New Roman" w:cs="Times New Roman"/>
          <w:b/>
          <w:i/>
          <w:sz w:val="24"/>
          <w:szCs w:val="24"/>
        </w:rPr>
        <w:t xml:space="preserve">- приложение№ 9 «Программа муниципальных гарантий </w:t>
      </w:r>
      <w:proofErr w:type="spellStart"/>
      <w:r w:rsidR="00697583">
        <w:rPr>
          <w:rFonts w:ascii="Times New Roman" w:hAnsi="Times New Roman" w:cs="Times New Roman"/>
          <w:b/>
          <w:i/>
          <w:sz w:val="24"/>
          <w:szCs w:val="24"/>
        </w:rPr>
        <w:t>Нивнянского</w:t>
      </w:r>
      <w:proofErr w:type="spellEnd"/>
      <w:r w:rsidRPr="00F35B5E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годов».</w:t>
      </w:r>
    </w:p>
    <w:p w:rsidR="00F35B5E" w:rsidRPr="00F35B5E" w:rsidRDefault="00F35B5E" w:rsidP="00F35B5E">
      <w:pPr>
        <w:tabs>
          <w:tab w:val="left" w:pos="0"/>
          <w:tab w:val="left" w:pos="6663"/>
        </w:tabs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5B5E">
        <w:rPr>
          <w:rFonts w:ascii="Times New Roman" w:hAnsi="Times New Roman" w:cs="Times New Roman"/>
          <w:b/>
          <w:i/>
          <w:sz w:val="24"/>
          <w:szCs w:val="24"/>
        </w:rPr>
        <w:t>Нарушение устранено в ходе проверки.</w:t>
      </w:r>
    </w:p>
    <w:p w:rsidR="00B92758" w:rsidRPr="00671F58" w:rsidRDefault="00B92758" w:rsidP="00A901EC">
      <w:pPr>
        <w:spacing w:after="0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F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характеристики бюджета поселения </w:t>
      </w:r>
    </w:p>
    <w:p w:rsidR="00B92758" w:rsidRPr="00671F58" w:rsidRDefault="00BD3688" w:rsidP="00A901EC">
      <w:pPr>
        <w:spacing w:after="0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  <w:r w:rsidR="00B92758" w:rsidRPr="00671F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B7E74" w:rsidRDefault="00B92758" w:rsidP="00B92758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5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7D0EA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1F58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072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006"/>
        <w:gridCol w:w="866"/>
        <w:gridCol w:w="851"/>
        <w:gridCol w:w="850"/>
        <w:gridCol w:w="851"/>
        <w:gridCol w:w="821"/>
        <w:gridCol w:w="851"/>
        <w:gridCol w:w="850"/>
      </w:tblGrid>
      <w:tr w:rsidR="00271164" w:rsidRPr="00A96DDE" w:rsidTr="00AE51AE">
        <w:trPr>
          <w:trHeight w:val="255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64" w:rsidRPr="00A96DDE" w:rsidRDefault="00271164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Основные характеристики проекта бюджета 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64" w:rsidRPr="00A96DDE" w:rsidRDefault="001960A6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10E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2711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</w:t>
            </w:r>
            <w:proofErr w:type="gramStart"/>
            <w:r w:rsidR="002711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="00271164"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proofErr w:type="gramEnd"/>
            <w:r w:rsidR="00271164"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="00271164"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оцен</w:t>
            </w:r>
            <w:proofErr w:type="spellEnd"/>
          </w:p>
          <w:p w:rsidR="00271164" w:rsidRPr="00A96DDE" w:rsidRDefault="00271164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ка)</w:t>
            </w:r>
            <w:proofErr w:type="gramEnd"/>
          </w:p>
        </w:tc>
        <w:tc>
          <w:tcPr>
            <w:tcW w:w="2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64" w:rsidRPr="00A96DDE" w:rsidRDefault="001960A6" w:rsidP="00F10E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10E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2711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64" w:rsidRPr="00A96DDE" w:rsidRDefault="001960A6" w:rsidP="00F10E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10E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2711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64" w:rsidRPr="00A96DDE" w:rsidRDefault="001960A6" w:rsidP="00F10E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10E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2711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71164" w:rsidRPr="00A96DDE" w:rsidTr="00AE51AE">
        <w:trPr>
          <w:trHeight w:val="679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164" w:rsidRPr="00A96DDE" w:rsidRDefault="00271164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164" w:rsidRPr="00A96DDE" w:rsidRDefault="00271164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64" w:rsidRPr="00A96DDE" w:rsidRDefault="00271164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271164" w:rsidRPr="00A96DDE" w:rsidRDefault="00271164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64" w:rsidRPr="00A96DDE" w:rsidRDefault="00271164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откло-нение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E" w:rsidRPr="00AE51AE" w:rsidRDefault="00AE51AE" w:rsidP="00AE51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5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 w:rsidRPr="00AE5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</w:p>
          <w:p w:rsidR="00271164" w:rsidRPr="00A96DDE" w:rsidRDefault="00AE51AE" w:rsidP="00AE51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64" w:rsidRPr="00A96DDE" w:rsidRDefault="00271164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271164" w:rsidRPr="00A96DDE" w:rsidRDefault="00271164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E" w:rsidRPr="00AE51AE" w:rsidRDefault="00AE51AE" w:rsidP="00AE51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5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 w:rsidRPr="00AE5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</w:p>
          <w:p w:rsidR="00271164" w:rsidRPr="00A96DDE" w:rsidRDefault="00AE51AE" w:rsidP="00AE51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164" w:rsidRPr="00A96DDE" w:rsidRDefault="00271164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1AE" w:rsidRDefault="00271164" w:rsidP="00AE51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 w:rsidR="00AE51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</w:p>
          <w:p w:rsidR="00271164" w:rsidRPr="00A96DDE" w:rsidRDefault="00271164" w:rsidP="00AE51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</w:t>
            </w:r>
          </w:p>
        </w:tc>
      </w:tr>
      <w:tr w:rsidR="00F10E27" w:rsidRPr="00A96DDE" w:rsidTr="005A4765">
        <w:trPr>
          <w:trHeight w:val="256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27" w:rsidRPr="00A96DDE" w:rsidRDefault="00F10E27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Доходы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1498,4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98,0</w:t>
            </w:r>
          </w:p>
        </w:tc>
      </w:tr>
      <w:tr w:rsidR="00F10E27" w:rsidRPr="00A96DDE" w:rsidTr="005A4765">
        <w:trPr>
          <w:trHeight w:val="363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27" w:rsidRPr="00A96DDE" w:rsidRDefault="00F10E27" w:rsidP="002B494D">
            <w:pPr>
              <w:spacing w:after="0" w:line="21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3619,1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1498,4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98,0</w:t>
            </w:r>
          </w:p>
        </w:tc>
      </w:tr>
      <w:tr w:rsidR="00F10E27" w:rsidRPr="00A96DDE" w:rsidTr="005A4765">
        <w:trPr>
          <w:trHeight w:val="26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E27" w:rsidRPr="00A96DDE" w:rsidRDefault="00F10E27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Дефицит (Профицит)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0F7F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E27" w:rsidRPr="00F10E27" w:rsidRDefault="00F10E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0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B92758" w:rsidRPr="00D87F67" w:rsidRDefault="001960A6" w:rsidP="00A901E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0F7F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F119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  <w:r w:rsidR="00B92758" w:rsidRPr="00D87F67">
        <w:rPr>
          <w:rFonts w:ascii="Times New Roman" w:eastAsia="Times New Roman" w:hAnsi="Times New Roman" w:cs="Times New Roman"/>
          <w:sz w:val="24"/>
          <w:szCs w:val="24"/>
        </w:rPr>
        <w:t xml:space="preserve"> Общий объем доходов бюджета  предусмотрен в сумме </w:t>
      </w:r>
      <w:r w:rsidR="000F7FEB">
        <w:rPr>
          <w:rFonts w:ascii="Times New Roman" w:eastAsia="Times New Roman" w:hAnsi="Times New Roman" w:cs="Times New Roman"/>
          <w:sz w:val="24"/>
          <w:szCs w:val="24"/>
        </w:rPr>
        <w:t>3732,3</w:t>
      </w:r>
      <w:r w:rsidR="00541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758" w:rsidRPr="00D87F67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</w:t>
      </w:r>
      <w:r w:rsidR="000F7FEB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51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758" w:rsidRPr="00D87F67">
        <w:rPr>
          <w:rFonts w:ascii="Times New Roman" w:eastAsia="Times New Roman" w:hAnsi="Times New Roman" w:cs="Times New Roman"/>
          <w:sz w:val="24"/>
          <w:szCs w:val="24"/>
        </w:rPr>
        <w:t xml:space="preserve">оценки ожидаемого исполнения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F7F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92758" w:rsidRPr="00D87F67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0F7FEB">
        <w:rPr>
          <w:rFonts w:ascii="Times New Roman" w:eastAsia="Times New Roman" w:hAnsi="Times New Roman" w:cs="Times New Roman"/>
          <w:sz w:val="24"/>
          <w:szCs w:val="24"/>
        </w:rPr>
        <w:t>201,3</w:t>
      </w:r>
      <w:r w:rsidR="00287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758" w:rsidRPr="00D87F67">
        <w:rPr>
          <w:rFonts w:ascii="Times New Roman" w:eastAsia="Times New Roman" w:hAnsi="Times New Roman" w:cs="Times New Roman"/>
          <w:sz w:val="24"/>
          <w:szCs w:val="24"/>
        </w:rPr>
        <w:t xml:space="preserve">тыс. руб. или на </w:t>
      </w:r>
      <w:r w:rsidR="000F7FEB">
        <w:rPr>
          <w:rFonts w:ascii="Times New Roman" w:eastAsia="Times New Roman" w:hAnsi="Times New Roman" w:cs="Times New Roman"/>
          <w:sz w:val="24"/>
          <w:szCs w:val="24"/>
        </w:rPr>
        <w:t>5,7</w:t>
      </w:r>
      <w:r w:rsidR="00B92758" w:rsidRPr="00D87F67">
        <w:rPr>
          <w:rFonts w:ascii="Times New Roman" w:eastAsia="Times New Roman" w:hAnsi="Times New Roman" w:cs="Times New Roman"/>
          <w:sz w:val="24"/>
          <w:szCs w:val="24"/>
        </w:rPr>
        <w:t xml:space="preserve">%.  </w:t>
      </w:r>
    </w:p>
    <w:p w:rsidR="00B92758" w:rsidRPr="00D87F67" w:rsidRDefault="00B92758" w:rsidP="00A901E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67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F7FE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87F67">
        <w:rPr>
          <w:rFonts w:ascii="Times New Roman" w:eastAsia="Times New Roman" w:hAnsi="Times New Roman" w:cs="Times New Roman"/>
          <w:sz w:val="24"/>
          <w:szCs w:val="24"/>
        </w:rPr>
        <w:t xml:space="preserve">у предусмотрен в сумме </w:t>
      </w:r>
      <w:r w:rsidR="000F7FEB">
        <w:rPr>
          <w:rFonts w:ascii="Times New Roman" w:eastAsia="Times New Roman" w:hAnsi="Times New Roman" w:cs="Times New Roman"/>
          <w:sz w:val="24"/>
          <w:szCs w:val="24"/>
        </w:rPr>
        <w:t>3732,3</w:t>
      </w:r>
      <w:r w:rsidRPr="00D87F6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0F7FEB">
        <w:rPr>
          <w:rFonts w:ascii="Times New Roman" w:eastAsia="Times New Roman" w:hAnsi="Times New Roman" w:cs="Times New Roman"/>
          <w:sz w:val="24"/>
          <w:szCs w:val="24"/>
        </w:rPr>
        <w:t>113,2</w:t>
      </w:r>
      <w:r w:rsidR="0066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F67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на </w:t>
      </w:r>
      <w:r w:rsidR="000F7FEB">
        <w:rPr>
          <w:rFonts w:ascii="Times New Roman" w:eastAsia="Times New Roman" w:hAnsi="Times New Roman" w:cs="Times New Roman"/>
          <w:sz w:val="24"/>
          <w:szCs w:val="24"/>
        </w:rPr>
        <w:t>3,1</w:t>
      </w:r>
      <w:r w:rsidRPr="00D87F67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0F7FEB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D87F67">
        <w:rPr>
          <w:rFonts w:ascii="Times New Roman" w:eastAsia="Times New Roman" w:hAnsi="Times New Roman" w:cs="Times New Roman"/>
          <w:sz w:val="24"/>
          <w:szCs w:val="24"/>
        </w:rPr>
        <w:t xml:space="preserve"> оценки объёма расходов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F7F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87F67">
        <w:rPr>
          <w:rFonts w:ascii="Times New Roman" w:eastAsia="Times New Roman" w:hAnsi="Times New Roman" w:cs="Times New Roman"/>
          <w:sz w:val="24"/>
          <w:szCs w:val="24"/>
        </w:rPr>
        <w:t xml:space="preserve">. Дефицит бюджета </w:t>
      </w:r>
      <w:r w:rsidR="001C7A0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D87F67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 w:rsidR="001C7A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7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2758" w:rsidRPr="00D87F67" w:rsidRDefault="001960A6" w:rsidP="00A901E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0F7F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="00F119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  <w:r w:rsidR="00B92758" w:rsidRPr="00D87F67">
        <w:rPr>
          <w:rFonts w:ascii="Times New Roman" w:eastAsia="Times New Roman" w:hAnsi="Times New Roman" w:cs="Times New Roman"/>
          <w:sz w:val="24"/>
          <w:szCs w:val="24"/>
        </w:rPr>
        <w:t xml:space="preserve"> Общий объем доходов </w:t>
      </w:r>
      <w:r w:rsidR="00624220">
        <w:rPr>
          <w:rFonts w:ascii="Times New Roman" w:eastAsia="Times New Roman" w:hAnsi="Times New Roman" w:cs="Times New Roman"/>
          <w:sz w:val="24"/>
          <w:szCs w:val="24"/>
        </w:rPr>
        <w:t xml:space="preserve">и расходов </w:t>
      </w:r>
      <w:r w:rsidR="00B92758" w:rsidRPr="00D87F67">
        <w:rPr>
          <w:rFonts w:ascii="Times New Roman" w:eastAsia="Times New Roman" w:hAnsi="Times New Roman" w:cs="Times New Roman"/>
          <w:sz w:val="24"/>
          <w:szCs w:val="24"/>
        </w:rPr>
        <w:t xml:space="preserve">бюджета  предусмотрен в сумме </w:t>
      </w:r>
      <w:r w:rsidR="000F7FEB">
        <w:rPr>
          <w:rFonts w:ascii="Times New Roman" w:eastAsia="Times New Roman" w:hAnsi="Times New Roman" w:cs="Times New Roman"/>
          <w:sz w:val="24"/>
          <w:szCs w:val="24"/>
        </w:rPr>
        <w:t xml:space="preserve">1498,4 </w:t>
      </w:r>
      <w:r w:rsidR="00B92758" w:rsidRPr="00D87F67">
        <w:rPr>
          <w:rFonts w:ascii="Times New Roman" w:eastAsia="Times New Roman" w:hAnsi="Times New Roman" w:cs="Times New Roman"/>
          <w:sz w:val="24"/>
          <w:szCs w:val="24"/>
        </w:rPr>
        <w:t>тыс. рублей, с у</w:t>
      </w:r>
      <w:r w:rsidR="006945AB">
        <w:rPr>
          <w:rFonts w:ascii="Times New Roman" w:eastAsia="Times New Roman" w:hAnsi="Times New Roman" w:cs="Times New Roman"/>
          <w:sz w:val="24"/>
          <w:szCs w:val="24"/>
        </w:rPr>
        <w:t>меньшением</w:t>
      </w:r>
      <w:r w:rsidR="00B92758" w:rsidRPr="00D87F67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6945AB">
        <w:rPr>
          <w:rFonts w:ascii="Times New Roman" w:eastAsia="Times New Roman" w:hAnsi="Times New Roman" w:cs="Times New Roman"/>
          <w:sz w:val="24"/>
          <w:szCs w:val="24"/>
        </w:rPr>
        <w:t xml:space="preserve">предыдущему году по </w:t>
      </w:r>
      <w:r w:rsidR="00B92758" w:rsidRPr="00D87F67">
        <w:rPr>
          <w:rFonts w:ascii="Times New Roman" w:eastAsia="Times New Roman" w:hAnsi="Times New Roman" w:cs="Times New Roman"/>
          <w:sz w:val="24"/>
          <w:szCs w:val="24"/>
        </w:rPr>
        <w:t xml:space="preserve">объему доходов </w:t>
      </w:r>
      <w:r w:rsidR="006945AB">
        <w:rPr>
          <w:rFonts w:ascii="Times New Roman" w:eastAsia="Times New Roman" w:hAnsi="Times New Roman" w:cs="Times New Roman"/>
          <w:sz w:val="24"/>
          <w:szCs w:val="24"/>
        </w:rPr>
        <w:t xml:space="preserve">и расходов на </w:t>
      </w:r>
      <w:r w:rsidR="000F7FEB">
        <w:rPr>
          <w:rFonts w:ascii="Times New Roman" w:eastAsia="Times New Roman" w:hAnsi="Times New Roman" w:cs="Times New Roman"/>
          <w:sz w:val="24"/>
          <w:szCs w:val="24"/>
        </w:rPr>
        <w:t>59,9</w:t>
      </w:r>
      <w:r w:rsidR="00624220">
        <w:rPr>
          <w:rFonts w:ascii="Times New Roman" w:eastAsia="Times New Roman" w:hAnsi="Times New Roman" w:cs="Times New Roman"/>
          <w:sz w:val="24"/>
          <w:szCs w:val="24"/>
        </w:rPr>
        <w:t>%</w:t>
      </w:r>
      <w:r w:rsidR="006945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2758" w:rsidRPr="00D87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22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B92758" w:rsidRPr="00D87F67">
        <w:rPr>
          <w:rFonts w:ascii="Times New Roman" w:eastAsia="Times New Roman" w:hAnsi="Times New Roman" w:cs="Times New Roman"/>
          <w:sz w:val="24"/>
          <w:szCs w:val="24"/>
        </w:rPr>
        <w:t>юджет</w:t>
      </w:r>
      <w:r w:rsidR="00624220">
        <w:rPr>
          <w:rFonts w:ascii="Times New Roman" w:eastAsia="Times New Roman" w:hAnsi="Times New Roman" w:cs="Times New Roman"/>
          <w:sz w:val="24"/>
          <w:szCs w:val="24"/>
        </w:rPr>
        <w:t xml:space="preserve"> сба</w:t>
      </w:r>
      <w:r w:rsidR="006945AB">
        <w:rPr>
          <w:rFonts w:ascii="Times New Roman" w:eastAsia="Times New Roman" w:hAnsi="Times New Roman" w:cs="Times New Roman"/>
          <w:sz w:val="24"/>
          <w:szCs w:val="24"/>
        </w:rPr>
        <w:t>лан</w:t>
      </w:r>
      <w:r w:rsidR="00624220">
        <w:rPr>
          <w:rFonts w:ascii="Times New Roman" w:eastAsia="Times New Roman" w:hAnsi="Times New Roman" w:cs="Times New Roman"/>
          <w:sz w:val="24"/>
          <w:szCs w:val="24"/>
        </w:rPr>
        <w:t>сирован</w:t>
      </w:r>
      <w:r w:rsidR="00712FDC" w:rsidRPr="00D87F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220" w:rsidRPr="00D87F67" w:rsidRDefault="001960A6" w:rsidP="00A901E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0F7F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 w:rsidR="00F119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  <w:r w:rsidR="00B92758" w:rsidRPr="00D87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7F1" w:rsidRPr="009A47F1">
        <w:rPr>
          <w:rFonts w:ascii="Times New Roman" w:eastAsia="Times New Roman" w:hAnsi="Times New Roman" w:cs="Times New Roman"/>
          <w:sz w:val="24"/>
          <w:szCs w:val="24"/>
        </w:rPr>
        <w:t xml:space="preserve">Общий объем доходов и расходов бюджета  предусмотрен в сумме </w:t>
      </w:r>
      <w:r w:rsidR="000F7FEB">
        <w:rPr>
          <w:rFonts w:ascii="Times New Roman" w:eastAsia="Times New Roman" w:hAnsi="Times New Roman" w:cs="Times New Roman"/>
          <w:sz w:val="24"/>
          <w:szCs w:val="24"/>
        </w:rPr>
        <w:t>1468,6</w:t>
      </w:r>
      <w:r w:rsidR="009A47F1" w:rsidRPr="009A47F1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с у</w:t>
      </w:r>
      <w:r w:rsidR="00F676E1">
        <w:rPr>
          <w:rFonts w:ascii="Times New Roman" w:eastAsia="Times New Roman" w:hAnsi="Times New Roman" w:cs="Times New Roman"/>
          <w:sz w:val="24"/>
          <w:szCs w:val="24"/>
        </w:rPr>
        <w:t>величением</w:t>
      </w:r>
      <w:r w:rsidR="009A47F1" w:rsidRPr="009A47F1">
        <w:rPr>
          <w:rFonts w:ascii="Times New Roman" w:eastAsia="Times New Roman" w:hAnsi="Times New Roman" w:cs="Times New Roman"/>
          <w:sz w:val="24"/>
          <w:szCs w:val="24"/>
        </w:rPr>
        <w:t xml:space="preserve"> к предыдущему году по объему доходов и расходов на </w:t>
      </w:r>
      <w:r w:rsidR="000F7FEB">
        <w:rPr>
          <w:rFonts w:ascii="Times New Roman" w:eastAsia="Times New Roman" w:hAnsi="Times New Roman" w:cs="Times New Roman"/>
          <w:sz w:val="24"/>
          <w:szCs w:val="24"/>
        </w:rPr>
        <w:t>2,0</w:t>
      </w:r>
      <w:r w:rsidR="009A47F1" w:rsidRPr="009A47F1">
        <w:rPr>
          <w:rFonts w:ascii="Times New Roman" w:eastAsia="Times New Roman" w:hAnsi="Times New Roman" w:cs="Times New Roman"/>
          <w:sz w:val="24"/>
          <w:szCs w:val="24"/>
        </w:rPr>
        <w:t>%. Бюджет сбалансирован.</w:t>
      </w:r>
    </w:p>
    <w:p w:rsidR="00B92758" w:rsidRPr="001A7D01" w:rsidRDefault="00B92758" w:rsidP="00A901EC">
      <w:pPr>
        <w:shd w:val="clear" w:color="auto" w:fill="FFFFFF"/>
        <w:spacing w:after="0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D0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доходной части проекта бюджета</w:t>
      </w:r>
    </w:p>
    <w:p w:rsidR="00B92758" w:rsidRPr="00D87F67" w:rsidRDefault="00B92758" w:rsidP="00A901EC">
      <w:pPr>
        <w:shd w:val="clear" w:color="auto" w:fill="FFFFFF"/>
        <w:spacing w:after="0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F67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собственных доходов бюджета осуществлялось в соответствии со ст. 174.1 БК </w:t>
      </w:r>
      <w:proofErr w:type="gramStart"/>
      <w:r w:rsidRPr="00D87F67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Pr="00D87F67">
        <w:rPr>
          <w:rFonts w:ascii="Times New Roman" w:eastAsia="Times New Roman" w:hAnsi="Times New Roman" w:cs="Times New Roman"/>
          <w:sz w:val="24"/>
          <w:szCs w:val="24"/>
        </w:rPr>
        <w:t xml:space="preserve"> в условиях действующего на день внесения проекта Решения о бюджете в представительный орган о налогах и сборах, а так же бюджетного законодательства. При расчете собственных доходов использованы данные налоговой отчетности и статистические данные.</w:t>
      </w:r>
    </w:p>
    <w:p w:rsidR="00B92758" w:rsidRPr="00D87F67" w:rsidRDefault="00B92758" w:rsidP="00A901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F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Динамика показателей доходной части бюджета в </w:t>
      </w:r>
      <w:r w:rsidR="001960A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0F7FE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87F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1960A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0F7FE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D87F67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</w:p>
    <w:p w:rsidR="00B92758" w:rsidRDefault="00B92758" w:rsidP="00B927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7F67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844E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46883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187" w:type="dxa"/>
        <w:jc w:val="center"/>
        <w:tblInd w:w="-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041"/>
        <w:gridCol w:w="1029"/>
        <w:gridCol w:w="1120"/>
        <w:gridCol w:w="740"/>
        <w:gridCol w:w="986"/>
        <w:gridCol w:w="804"/>
        <w:gridCol w:w="917"/>
        <w:gridCol w:w="740"/>
      </w:tblGrid>
      <w:tr w:rsidR="00446883" w:rsidRPr="00465637" w:rsidTr="00A9465F">
        <w:trPr>
          <w:trHeight w:val="285"/>
          <w:jc w:val="center"/>
        </w:trPr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883" w:rsidRPr="00465637" w:rsidRDefault="00446883" w:rsidP="002B494D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Показатель 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883" w:rsidRPr="00465637" w:rsidRDefault="001960A6" w:rsidP="002B494D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0F7F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4468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</w:t>
            </w:r>
            <w:proofErr w:type="gramStart"/>
            <w:r w:rsidR="004468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="00446883"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proofErr w:type="gramEnd"/>
            <w:r w:rsidR="00446883"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="00446883"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оцен</w:t>
            </w:r>
            <w:proofErr w:type="spellEnd"/>
          </w:p>
          <w:p w:rsidR="00446883" w:rsidRPr="00465637" w:rsidRDefault="00446883" w:rsidP="002B494D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ка)</w:t>
            </w:r>
            <w:proofErr w:type="gramEnd"/>
          </w:p>
        </w:tc>
        <w:tc>
          <w:tcPr>
            <w:tcW w:w="2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883" w:rsidRPr="00465637" w:rsidRDefault="001960A6" w:rsidP="000F7FEB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0F7F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4468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883" w:rsidRPr="00465637" w:rsidRDefault="001960A6" w:rsidP="000F7FEB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0F7F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4468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6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883" w:rsidRPr="00465637" w:rsidRDefault="001960A6" w:rsidP="000F7FEB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0F7F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4468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4E713F" w:rsidRPr="00465637" w:rsidTr="00A9465F">
        <w:trPr>
          <w:trHeight w:val="510"/>
          <w:jc w:val="center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883" w:rsidRPr="00465637" w:rsidRDefault="00446883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883" w:rsidRPr="00465637" w:rsidRDefault="00446883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883" w:rsidRPr="00465637" w:rsidRDefault="00446883" w:rsidP="002B494D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446883" w:rsidRPr="00465637" w:rsidRDefault="00446883" w:rsidP="002B494D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883" w:rsidRPr="00465637" w:rsidRDefault="00446883" w:rsidP="002B494D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откло-нение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878" w:rsidRPr="00052878" w:rsidRDefault="00052878" w:rsidP="00052878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2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 w:rsidRPr="00052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</w:p>
          <w:p w:rsidR="00446883" w:rsidRPr="00465637" w:rsidRDefault="00052878" w:rsidP="00052878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2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883" w:rsidRPr="00465637" w:rsidRDefault="00446883" w:rsidP="002B494D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</w:t>
            </w:r>
          </w:p>
          <w:p w:rsidR="00446883" w:rsidRPr="00465637" w:rsidRDefault="00446883" w:rsidP="002B494D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878" w:rsidRPr="00052878" w:rsidRDefault="00052878" w:rsidP="00052878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2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 w:rsidRPr="00052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</w:p>
          <w:p w:rsidR="00446883" w:rsidRPr="00465637" w:rsidRDefault="00052878" w:rsidP="00052878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2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883" w:rsidRPr="00465637" w:rsidRDefault="00446883" w:rsidP="002B494D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878" w:rsidRDefault="00446883" w:rsidP="00052878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к </w:t>
            </w:r>
            <w:proofErr w:type="spellStart"/>
            <w:r w:rsidR="00052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предыд</w:t>
            </w:r>
            <w:proofErr w:type="spellEnd"/>
          </w:p>
          <w:p w:rsidR="00446883" w:rsidRPr="00465637" w:rsidRDefault="00446883" w:rsidP="00052878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</w:t>
            </w:r>
          </w:p>
        </w:tc>
      </w:tr>
      <w:tr w:rsidR="00B93442" w:rsidRPr="00465637" w:rsidTr="00F538C2">
        <w:trPr>
          <w:trHeight w:val="255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442" w:rsidRPr="00465637" w:rsidRDefault="00B93442" w:rsidP="002B494D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42" w:rsidRPr="00B93442" w:rsidRDefault="00B934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3531,0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42" w:rsidRPr="00B93442" w:rsidRDefault="00B934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3732,3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42" w:rsidRPr="00B93442" w:rsidRDefault="00B93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1498,4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1468,6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98,0</w:t>
            </w:r>
          </w:p>
        </w:tc>
      </w:tr>
      <w:tr w:rsidR="00B93442" w:rsidRPr="00465637" w:rsidTr="002F334E">
        <w:trPr>
          <w:trHeight w:val="255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442" w:rsidRPr="00465637" w:rsidRDefault="00B93442" w:rsidP="002B494D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1025,0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FE041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FE04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</w:tr>
      <w:tr w:rsidR="00B93442" w:rsidRPr="00465637" w:rsidTr="002F334E">
        <w:trPr>
          <w:trHeight w:val="255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442" w:rsidRPr="00465637" w:rsidRDefault="00B93442" w:rsidP="002B494D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93442" w:rsidRPr="00465637" w:rsidTr="002F334E">
        <w:trPr>
          <w:trHeight w:val="315"/>
          <w:jc w:val="center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442" w:rsidRPr="00465637" w:rsidRDefault="00B93442" w:rsidP="002B494D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637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442" w:rsidRPr="00B93442" w:rsidRDefault="00B93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4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101,5</w:t>
            </w:r>
          </w:p>
        </w:tc>
      </w:tr>
    </w:tbl>
    <w:p w:rsidR="00FE0416" w:rsidRDefault="00B92758" w:rsidP="00A901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Доходы проекта бюджета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E0416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416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 оценки уровня </w:t>
      </w:r>
      <w:r w:rsidR="00807251">
        <w:rPr>
          <w:rFonts w:ascii="Times New Roman" w:eastAsia="Times New Roman" w:hAnsi="Times New Roman" w:cs="Times New Roman"/>
          <w:sz w:val="24"/>
          <w:szCs w:val="24"/>
        </w:rPr>
        <w:t xml:space="preserve">исполнения </w:t>
      </w: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бюджета за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E041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416">
        <w:rPr>
          <w:rFonts w:ascii="Times New Roman" w:eastAsia="Times New Roman" w:hAnsi="Times New Roman" w:cs="Times New Roman"/>
          <w:sz w:val="24"/>
          <w:szCs w:val="24"/>
        </w:rPr>
        <w:t xml:space="preserve">год на 201,3 тыс. рублей, или 5,7%  </w:t>
      </w:r>
      <w:r w:rsidRPr="005C372F">
        <w:rPr>
          <w:rFonts w:ascii="Times New Roman" w:eastAsia="Times New Roman" w:hAnsi="Times New Roman" w:cs="Times New Roman"/>
          <w:sz w:val="24"/>
          <w:szCs w:val="24"/>
        </w:rPr>
        <w:t xml:space="preserve">за счет </w:t>
      </w:r>
      <w:r w:rsidR="00EB58DF">
        <w:rPr>
          <w:rFonts w:ascii="Times New Roman" w:eastAsia="Times New Roman" w:hAnsi="Times New Roman" w:cs="Times New Roman"/>
          <w:sz w:val="24"/>
          <w:szCs w:val="24"/>
        </w:rPr>
        <w:t>безвозмездных поступлений</w:t>
      </w:r>
      <w:r w:rsidR="00FE0416">
        <w:rPr>
          <w:rFonts w:ascii="Times New Roman" w:eastAsia="Times New Roman" w:hAnsi="Times New Roman" w:cs="Times New Roman"/>
          <w:sz w:val="24"/>
          <w:szCs w:val="24"/>
        </w:rPr>
        <w:t xml:space="preserve"> на 13,6%.</w:t>
      </w:r>
      <w:r w:rsidR="00707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416">
        <w:rPr>
          <w:rFonts w:ascii="Times New Roman" w:eastAsia="Times New Roman" w:hAnsi="Times New Roman" w:cs="Times New Roman"/>
          <w:sz w:val="24"/>
          <w:szCs w:val="24"/>
        </w:rPr>
        <w:lastRenderedPageBreak/>
        <w:t>Налоговые доходы в сравнении с ожидаемым исполнением 2024 года снизятся на 110,0 тыс. рублей, или 9,2%.</w:t>
      </w:r>
    </w:p>
    <w:p w:rsidR="00FE0416" w:rsidRDefault="00EB58DF" w:rsidP="00A901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плановом 202</w:t>
      </w:r>
      <w:r w:rsidR="00FE041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E0416">
        <w:rPr>
          <w:rFonts w:ascii="Times New Roman" w:eastAsia="Times New Roman" w:hAnsi="Times New Roman" w:cs="Times New Roman"/>
          <w:sz w:val="24"/>
          <w:szCs w:val="24"/>
        </w:rPr>
        <w:t>у доходы снижены на 59,9% за счет снижения налоговых доходов на 5,3% и безвозмездных поступлений на 83,7%.</w:t>
      </w:r>
    </w:p>
    <w:p w:rsidR="00931823" w:rsidRDefault="00E77CD3" w:rsidP="00A901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2027 году </w:t>
      </w:r>
      <w:r w:rsidR="00EB58DF">
        <w:rPr>
          <w:rFonts w:ascii="Times New Roman" w:eastAsia="Times New Roman" w:hAnsi="Times New Roman" w:cs="Times New Roman"/>
          <w:sz w:val="24"/>
          <w:szCs w:val="24"/>
        </w:rPr>
        <w:t xml:space="preserve">ситуация со снижением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налоговых доходов </w:t>
      </w:r>
      <w:r w:rsidR="00EB58DF">
        <w:rPr>
          <w:rFonts w:ascii="Times New Roman" w:eastAsia="Times New Roman" w:hAnsi="Times New Roman" w:cs="Times New Roman"/>
          <w:sz w:val="24"/>
          <w:szCs w:val="24"/>
        </w:rPr>
        <w:t xml:space="preserve">повторится. </w:t>
      </w:r>
      <w:r w:rsidR="00B92758" w:rsidRPr="005C372F">
        <w:rPr>
          <w:rFonts w:ascii="Times New Roman" w:eastAsia="Times New Roman" w:hAnsi="Times New Roman" w:cs="Times New Roman"/>
          <w:sz w:val="24"/>
          <w:szCs w:val="24"/>
        </w:rPr>
        <w:t xml:space="preserve">При этом планируется </w:t>
      </w:r>
      <w:r w:rsidR="00766529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="00813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8DF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на </w:t>
      </w:r>
      <w:r>
        <w:rPr>
          <w:rFonts w:ascii="Times New Roman" w:eastAsia="Times New Roman" w:hAnsi="Times New Roman" w:cs="Times New Roman"/>
          <w:sz w:val="24"/>
          <w:szCs w:val="24"/>
        </w:rPr>
        <w:t>1,5</w:t>
      </w:r>
      <w:r w:rsidR="00EB58DF">
        <w:rPr>
          <w:rFonts w:ascii="Times New Roman" w:eastAsia="Times New Roman" w:hAnsi="Times New Roman" w:cs="Times New Roman"/>
          <w:sz w:val="24"/>
          <w:szCs w:val="24"/>
        </w:rPr>
        <w:t>%</w:t>
      </w:r>
      <w:r w:rsidR="00895E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758" w:rsidRPr="005C372F" w:rsidRDefault="00B92758" w:rsidP="00A901EC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структуры доходов бюджета в </w:t>
      </w:r>
      <w:r w:rsidR="001960A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02054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C3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1960A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02054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5C372F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</w:p>
    <w:p w:rsidR="00FA49BD" w:rsidRPr="005C372F" w:rsidRDefault="00B92758" w:rsidP="00B927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372F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5356D2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5C4F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4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992"/>
        <w:gridCol w:w="850"/>
        <w:gridCol w:w="1045"/>
        <w:gridCol w:w="709"/>
        <w:gridCol w:w="1134"/>
        <w:gridCol w:w="798"/>
        <w:gridCol w:w="992"/>
        <w:gridCol w:w="709"/>
        <w:gridCol w:w="30"/>
      </w:tblGrid>
      <w:tr w:rsidR="001F796F" w:rsidRPr="00304924" w:rsidTr="005356D2">
        <w:trPr>
          <w:trHeight w:val="255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6F" w:rsidRPr="00304924" w:rsidRDefault="001F796F" w:rsidP="002B494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</w:t>
            </w:r>
            <w:proofErr w:type="spellEnd"/>
          </w:p>
          <w:p w:rsidR="001F796F" w:rsidRPr="00304924" w:rsidRDefault="001F796F" w:rsidP="002B494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6F" w:rsidRPr="00304924" w:rsidRDefault="001F796F" w:rsidP="002B494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Ожи</w:t>
            </w:r>
            <w:proofErr w:type="spellEnd"/>
          </w:p>
          <w:p w:rsidR="001F796F" w:rsidRPr="00304924" w:rsidRDefault="001F796F" w:rsidP="002B494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даемое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</w:t>
            </w:r>
            <w:proofErr w:type="spellEnd"/>
          </w:p>
          <w:p w:rsidR="001F796F" w:rsidRPr="00304924" w:rsidRDefault="001F796F" w:rsidP="00340193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401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6F" w:rsidRPr="00304924" w:rsidRDefault="001F796F" w:rsidP="002B494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-тура</w:t>
            </w:r>
            <w:proofErr w:type="gram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6F" w:rsidRPr="00304924" w:rsidRDefault="001F796F" w:rsidP="00340193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1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401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6F" w:rsidRPr="00304924" w:rsidRDefault="001F796F" w:rsidP="002B494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-тура</w:t>
            </w:r>
            <w:proofErr w:type="gram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6F" w:rsidRPr="00304924" w:rsidRDefault="001F796F" w:rsidP="00340193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1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401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6F" w:rsidRPr="00304924" w:rsidRDefault="001F796F" w:rsidP="002B494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-тура</w:t>
            </w:r>
            <w:proofErr w:type="gram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6F" w:rsidRPr="00304924" w:rsidRDefault="001F796F" w:rsidP="00340193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1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3401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6F" w:rsidRPr="00304924" w:rsidRDefault="001F796F" w:rsidP="002B494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</w:t>
            </w:r>
            <w:proofErr w:type="spellEnd"/>
          </w:p>
          <w:p w:rsidR="001F796F" w:rsidRPr="00304924" w:rsidRDefault="001F796F" w:rsidP="00CA6F67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ктура</w:t>
            </w:r>
            <w:proofErr w:type="spellEnd"/>
            <w:r w:rsidRPr="003049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,%</w:t>
            </w:r>
          </w:p>
        </w:tc>
        <w:tc>
          <w:tcPr>
            <w:tcW w:w="30" w:type="dxa"/>
            <w:vAlign w:val="center"/>
            <w:hideMark/>
          </w:tcPr>
          <w:p w:rsidR="001F796F" w:rsidRPr="00304924" w:rsidRDefault="001F796F" w:rsidP="002B49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796F" w:rsidRPr="00304924" w:rsidTr="005356D2">
        <w:trPr>
          <w:trHeight w:val="25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center"/>
            <w:hideMark/>
          </w:tcPr>
          <w:p w:rsidR="001F796F" w:rsidRPr="00304924" w:rsidRDefault="001F796F" w:rsidP="002B49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796F" w:rsidRPr="00304924" w:rsidTr="005356D2">
        <w:trPr>
          <w:trHeight w:val="25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96F" w:rsidRPr="00304924" w:rsidRDefault="001F796F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center"/>
            <w:hideMark/>
          </w:tcPr>
          <w:p w:rsidR="001F796F" w:rsidRPr="00304924" w:rsidRDefault="001F796F" w:rsidP="002B49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0193" w:rsidRPr="00304924" w:rsidTr="00C03FCE">
        <w:trPr>
          <w:trHeight w:val="25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193" w:rsidRPr="00B633AB" w:rsidRDefault="00340193" w:rsidP="00FF671D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33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01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1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193" w:rsidRPr="00340193" w:rsidRDefault="0034019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01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3732,3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1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193" w:rsidRPr="00340193" w:rsidRDefault="0034019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01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1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193" w:rsidRPr="00340193" w:rsidRDefault="0034019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01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01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" w:type="dxa"/>
            <w:vAlign w:val="center"/>
          </w:tcPr>
          <w:p w:rsidR="00340193" w:rsidRPr="00304924" w:rsidRDefault="00340193" w:rsidP="002B49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0193" w:rsidRPr="00304924" w:rsidTr="00C03FCE">
        <w:trPr>
          <w:trHeight w:val="25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93" w:rsidRPr="00304924" w:rsidRDefault="00340193" w:rsidP="002B494D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30" w:type="dxa"/>
            <w:vAlign w:val="center"/>
            <w:hideMark/>
          </w:tcPr>
          <w:p w:rsidR="00340193" w:rsidRPr="00304924" w:rsidRDefault="00340193" w:rsidP="002B49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0193" w:rsidRPr="00304924" w:rsidTr="00C03FCE">
        <w:trPr>
          <w:trHeight w:val="25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93" w:rsidRPr="00304924" w:rsidRDefault="00340193" w:rsidP="002B494D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30" w:type="dxa"/>
            <w:vAlign w:val="center"/>
            <w:hideMark/>
          </w:tcPr>
          <w:p w:rsidR="00340193" w:rsidRPr="00304924" w:rsidRDefault="00340193" w:rsidP="002B49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0193" w:rsidRPr="00304924" w:rsidTr="00C03FCE">
        <w:trPr>
          <w:trHeight w:val="25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193" w:rsidRPr="00304924" w:rsidRDefault="00340193" w:rsidP="002B494D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924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193" w:rsidRPr="00340193" w:rsidRDefault="003401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0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30" w:type="dxa"/>
            <w:vAlign w:val="center"/>
            <w:hideMark/>
          </w:tcPr>
          <w:p w:rsidR="00340193" w:rsidRPr="00304924" w:rsidRDefault="00340193" w:rsidP="002B49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116F3" w:rsidRDefault="00B92758" w:rsidP="00A901EC">
      <w:pPr>
        <w:spacing w:after="0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F00">
        <w:rPr>
          <w:rFonts w:ascii="Times New Roman" w:eastAsia="Times New Roman" w:hAnsi="Times New Roman" w:cs="Times New Roman"/>
          <w:sz w:val="24"/>
          <w:szCs w:val="24"/>
        </w:rPr>
        <w:t xml:space="preserve">В прогнозируемом периоде </w:t>
      </w:r>
      <w:r w:rsidR="001960A6" w:rsidRPr="007B6F0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16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 w:rsidRPr="007B6F0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7B6F00">
        <w:rPr>
          <w:rFonts w:ascii="Times New Roman" w:eastAsia="Times New Roman" w:hAnsi="Times New Roman" w:cs="Times New Roman"/>
          <w:sz w:val="24"/>
          <w:szCs w:val="24"/>
        </w:rPr>
        <w:t xml:space="preserve">а наибольший объем в структуре доходов занимают </w:t>
      </w:r>
      <w:r w:rsidR="00557D35" w:rsidRPr="007B6F00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</w:t>
      </w:r>
      <w:r w:rsidRPr="007B6F0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116F3">
        <w:rPr>
          <w:rFonts w:ascii="Times New Roman" w:eastAsia="Times New Roman" w:hAnsi="Times New Roman" w:cs="Times New Roman"/>
          <w:sz w:val="24"/>
          <w:szCs w:val="24"/>
        </w:rPr>
        <w:t>69,7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%, при этом </w:t>
      </w:r>
      <w:r w:rsidR="002116F3">
        <w:rPr>
          <w:rFonts w:ascii="Times New Roman" w:eastAsia="Times New Roman" w:hAnsi="Times New Roman" w:cs="Times New Roman"/>
          <w:sz w:val="24"/>
          <w:szCs w:val="24"/>
        </w:rPr>
        <w:t>увеличившись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 к уровню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16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2116F3">
        <w:rPr>
          <w:rFonts w:ascii="Times New Roman" w:eastAsia="Times New Roman" w:hAnsi="Times New Roman" w:cs="Times New Roman"/>
          <w:sz w:val="24"/>
          <w:szCs w:val="24"/>
        </w:rPr>
        <w:t>4,8</w:t>
      </w:r>
      <w:r w:rsidR="00D6096E">
        <w:rPr>
          <w:rFonts w:ascii="Times New Roman" w:eastAsia="Times New Roman" w:hAnsi="Times New Roman" w:cs="Times New Roman"/>
          <w:sz w:val="24"/>
          <w:szCs w:val="24"/>
        </w:rPr>
        <w:t xml:space="preserve"> процентных пункта</w:t>
      </w:r>
      <w:r w:rsidR="00557D35">
        <w:rPr>
          <w:rFonts w:ascii="Times New Roman" w:eastAsia="Times New Roman" w:hAnsi="Times New Roman" w:cs="Times New Roman"/>
          <w:sz w:val="24"/>
          <w:szCs w:val="24"/>
        </w:rPr>
        <w:t>, а д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оля </w:t>
      </w:r>
      <w:r w:rsidR="00557D35">
        <w:rPr>
          <w:rFonts w:ascii="Times New Roman" w:eastAsia="Times New Roman" w:hAnsi="Times New Roman" w:cs="Times New Roman"/>
          <w:sz w:val="24"/>
          <w:szCs w:val="24"/>
        </w:rPr>
        <w:t xml:space="preserve">налоговых доходов составит </w:t>
      </w:r>
      <w:r w:rsidR="002116F3">
        <w:rPr>
          <w:rFonts w:ascii="Times New Roman" w:eastAsia="Times New Roman" w:hAnsi="Times New Roman" w:cs="Times New Roman"/>
          <w:sz w:val="24"/>
          <w:szCs w:val="24"/>
        </w:rPr>
        <w:t>29,0</w:t>
      </w:r>
      <w:r w:rsidR="00557D35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2116F3">
        <w:rPr>
          <w:rFonts w:ascii="Times New Roman" w:eastAsia="Times New Roman" w:hAnsi="Times New Roman" w:cs="Times New Roman"/>
          <w:sz w:val="24"/>
          <w:szCs w:val="24"/>
        </w:rPr>
        <w:t>снизившись</w:t>
      </w:r>
      <w:r w:rsidR="00557D3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116F3">
        <w:rPr>
          <w:rFonts w:ascii="Times New Roman" w:eastAsia="Times New Roman" w:hAnsi="Times New Roman" w:cs="Times New Roman"/>
          <w:sz w:val="24"/>
          <w:szCs w:val="24"/>
        </w:rPr>
        <w:t>4,8</w:t>
      </w:r>
      <w:r w:rsidR="00557D35">
        <w:rPr>
          <w:rFonts w:ascii="Times New Roman" w:eastAsia="Times New Roman" w:hAnsi="Times New Roman" w:cs="Times New Roman"/>
          <w:sz w:val="24"/>
          <w:szCs w:val="24"/>
        </w:rPr>
        <w:t xml:space="preserve"> процентных пункта. Н</w:t>
      </w:r>
      <w:r w:rsidR="003F31A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>налоговы</w:t>
      </w:r>
      <w:r w:rsidR="00557D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 доход</w:t>
      </w:r>
      <w:r w:rsidR="00557D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="002116F3">
        <w:rPr>
          <w:rFonts w:ascii="Times New Roman" w:eastAsia="Times New Roman" w:hAnsi="Times New Roman" w:cs="Times New Roman"/>
          <w:sz w:val="24"/>
          <w:szCs w:val="24"/>
        </w:rPr>
        <w:t xml:space="preserve">останутся примерно на том же уровне и в </w:t>
      </w:r>
      <w:proofErr w:type="spellStart"/>
      <w:r w:rsidR="002116F3">
        <w:rPr>
          <w:rFonts w:ascii="Times New Roman" w:eastAsia="Times New Roman" w:hAnsi="Times New Roman" w:cs="Times New Roman"/>
          <w:sz w:val="24"/>
          <w:szCs w:val="24"/>
        </w:rPr>
        <w:t>прогнозноам</w:t>
      </w:r>
      <w:proofErr w:type="spellEnd"/>
      <w:r w:rsidR="002116F3">
        <w:rPr>
          <w:rFonts w:ascii="Times New Roman" w:eastAsia="Times New Roman" w:hAnsi="Times New Roman" w:cs="Times New Roman"/>
          <w:sz w:val="24"/>
          <w:szCs w:val="24"/>
        </w:rPr>
        <w:t xml:space="preserve"> 2025 году составят 1,3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>%</w:t>
      </w:r>
      <w:r w:rsidR="002116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758" w:rsidRPr="003E4912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В прогнозируемом периоде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а наибольший объем в структуре доходов занимают налоговые доходы – </w:t>
      </w:r>
      <w:r w:rsidR="00510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6F3">
        <w:rPr>
          <w:rFonts w:ascii="Times New Roman" w:eastAsia="Times New Roman" w:hAnsi="Times New Roman" w:cs="Times New Roman"/>
          <w:sz w:val="24"/>
          <w:szCs w:val="24"/>
        </w:rPr>
        <w:t>68,4</w:t>
      </w:r>
      <w:r w:rsidR="00515CA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116F3">
        <w:rPr>
          <w:rFonts w:ascii="Times New Roman" w:eastAsia="Times New Roman" w:hAnsi="Times New Roman" w:cs="Times New Roman"/>
          <w:sz w:val="24"/>
          <w:szCs w:val="24"/>
        </w:rPr>
        <w:t>67,3</w:t>
      </w:r>
      <w:r w:rsidR="00515CA2">
        <w:rPr>
          <w:rFonts w:ascii="Times New Roman" w:eastAsia="Times New Roman" w:hAnsi="Times New Roman" w:cs="Times New Roman"/>
          <w:sz w:val="24"/>
          <w:szCs w:val="24"/>
        </w:rPr>
        <w:t xml:space="preserve"> %% соответственно</w:t>
      </w:r>
      <w:r w:rsidR="00521E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7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в структуре доходов в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77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составят </w:t>
      </w:r>
      <w:r w:rsidR="00510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6F3">
        <w:rPr>
          <w:rFonts w:ascii="Times New Roman" w:eastAsia="Times New Roman" w:hAnsi="Times New Roman" w:cs="Times New Roman"/>
          <w:sz w:val="24"/>
          <w:szCs w:val="24"/>
        </w:rPr>
        <w:t>28,3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CA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57D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16F3">
        <w:rPr>
          <w:rFonts w:ascii="Times New Roman" w:eastAsia="Times New Roman" w:hAnsi="Times New Roman" w:cs="Times New Roman"/>
          <w:sz w:val="24"/>
          <w:szCs w:val="24"/>
        </w:rPr>
        <w:t>9,3</w:t>
      </w:r>
      <w:r w:rsidR="00515CA2">
        <w:rPr>
          <w:rFonts w:ascii="Times New Roman" w:eastAsia="Times New Roman" w:hAnsi="Times New Roman" w:cs="Times New Roman"/>
          <w:sz w:val="24"/>
          <w:szCs w:val="24"/>
        </w:rPr>
        <w:t>%% соответственно</w:t>
      </w:r>
      <w:r w:rsidRPr="003E49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75CF3" w:rsidRPr="00DD43FB" w:rsidRDefault="00B9275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C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D43FB">
        <w:rPr>
          <w:rFonts w:ascii="Times New Roman" w:eastAsia="Times New Roman" w:hAnsi="Times New Roman" w:cs="Times New Roman"/>
          <w:b/>
          <w:sz w:val="24"/>
          <w:szCs w:val="24"/>
        </w:rPr>
        <w:t>Налоговые доходы</w:t>
      </w:r>
      <w:r w:rsidRPr="00DD43FB">
        <w:rPr>
          <w:rFonts w:ascii="Times New Roman" w:eastAsia="Times New Roman" w:hAnsi="Times New Roman" w:cs="Times New Roman"/>
          <w:sz w:val="24"/>
          <w:szCs w:val="24"/>
        </w:rPr>
        <w:t xml:space="preserve"> бюджета на </w:t>
      </w:r>
      <w:r w:rsidR="001960A6" w:rsidRPr="00DD43F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45755" w:rsidRPr="00DD43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 w:rsidRPr="00DD43F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D43FB">
        <w:rPr>
          <w:rFonts w:ascii="Times New Roman" w:eastAsia="Times New Roman" w:hAnsi="Times New Roman" w:cs="Times New Roman"/>
          <w:sz w:val="24"/>
          <w:szCs w:val="24"/>
        </w:rPr>
        <w:t xml:space="preserve"> прогнозируются в объеме </w:t>
      </w:r>
      <w:r w:rsidR="00045755" w:rsidRPr="00DD43FB">
        <w:rPr>
          <w:rFonts w:ascii="Times New Roman" w:eastAsia="Times New Roman" w:hAnsi="Times New Roman" w:cs="Times New Roman"/>
          <w:sz w:val="24"/>
          <w:szCs w:val="24"/>
        </w:rPr>
        <w:t>1082,0</w:t>
      </w:r>
      <w:r w:rsidRPr="00DD43F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2D4CA9" w:rsidRPr="00DD43FB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A11058" w:rsidRPr="00DD4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3FB">
        <w:rPr>
          <w:rFonts w:ascii="Times New Roman" w:eastAsia="Times New Roman" w:hAnsi="Times New Roman" w:cs="Times New Roman"/>
          <w:sz w:val="24"/>
          <w:szCs w:val="24"/>
        </w:rPr>
        <w:t xml:space="preserve">ожидаемого исполнения бюджета за </w:t>
      </w:r>
      <w:r w:rsidR="001960A6" w:rsidRPr="00DD43F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43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 w:rsidRPr="00DD43F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D43FB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DD43FB">
        <w:rPr>
          <w:rFonts w:ascii="Times New Roman" w:eastAsia="Times New Roman" w:hAnsi="Times New Roman" w:cs="Times New Roman"/>
          <w:sz w:val="24"/>
          <w:szCs w:val="24"/>
        </w:rPr>
        <w:t>110,0</w:t>
      </w:r>
      <w:r w:rsidRPr="00DD43FB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0766D6" w:rsidRPr="00DD43FB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="00DD43FB">
        <w:rPr>
          <w:rFonts w:ascii="Times New Roman" w:eastAsia="Times New Roman" w:hAnsi="Times New Roman" w:cs="Times New Roman"/>
          <w:sz w:val="24"/>
          <w:szCs w:val="24"/>
        </w:rPr>
        <w:t>9,2</w:t>
      </w:r>
      <w:r w:rsidR="000766D6" w:rsidRPr="00DD43F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DD43FB">
        <w:rPr>
          <w:rFonts w:ascii="Times New Roman" w:eastAsia="Times New Roman" w:hAnsi="Times New Roman" w:cs="Times New Roman"/>
          <w:sz w:val="24"/>
          <w:szCs w:val="24"/>
        </w:rPr>
        <w:t xml:space="preserve">. Темп роста налоговых доходов к предшествующему году </w:t>
      </w:r>
      <w:r w:rsidR="00D75CF3" w:rsidRPr="00DD43FB">
        <w:rPr>
          <w:rFonts w:ascii="Times New Roman" w:eastAsia="Times New Roman" w:hAnsi="Times New Roman" w:cs="Times New Roman"/>
          <w:sz w:val="24"/>
          <w:szCs w:val="24"/>
        </w:rPr>
        <w:t xml:space="preserve">плановом периоде </w:t>
      </w:r>
      <w:r w:rsidRPr="00DD4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688" w:rsidRPr="00DD43FB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="00D75CF3" w:rsidRPr="00DD4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5CF3" w:rsidRPr="00DD43FB">
        <w:rPr>
          <w:rFonts w:ascii="Times New Roman" w:eastAsia="Times New Roman" w:hAnsi="Times New Roman" w:cs="Times New Roman"/>
          <w:sz w:val="24"/>
          <w:szCs w:val="24"/>
        </w:rPr>
        <w:t>г.г</w:t>
      </w:r>
      <w:proofErr w:type="spellEnd"/>
      <w:r w:rsidR="00D75CF3" w:rsidRPr="00DD43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D43FB">
        <w:rPr>
          <w:rFonts w:ascii="Times New Roman" w:eastAsia="Times New Roman" w:hAnsi="Times New Roman" w:cs="Times New Roman"/>
          <w:sz w:val="24"/>
          <w:szCs w:val="24"/>
        </w:rPr>
        <w:t>прогнозируется в размере</w:t>
      </w:r>
      <w:r w:rsidR="00B84F9F" w:rsidRPr="00DD4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5D8" w:rsidRPr="00DD43FB">
        <w:rPr>
          <w:rFonts w:ascii="Times New Roman" w:eastAsia="Times New Roman" w:hAnsi="Times New Roman" w:cs="Times New Roman"/>
          <w:sz w:val="24"/>
          <w:szCs w:val="24"/>
        </w:rPr>
        <w:t>(-</w:t>
      </w:r>
      <w:r w:rsidR="0099276B">
        <w:rPr>
          <w:rFonts w:ascii="Times New Roman" w:eastAsia="Times New Roman" w:hAnsi="Times New Roman" w:cs="Times New Roman"/>
          <w:sz w:val="24"/>
          <w:szCs w:val="24"/>
        </w:rPr>
        <w:t>5,3</w:t>
      </w:r>
      <w:r w:rsidR="00BF45D8" w:rsidRPr="00DD43F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5CF3" w:rsidRPr="00DD43FB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99276B">
        <w:rPr>
          <w:rFonts w:ascii="Times New Roman" w:eastAsia="Times New Roman" w:hAnsi="Times New Roman" w:cs="Times New Roman"/>
          <w:sz w:val="24"/>
          <w:szCs w:val="24"/>
        </w:rPr>
        <w:t>(-3,5)</w:t>
      </w:r>
      <w:r w:rsidR="00D75CF3" w:rsidRPr="00DD43FB">
        <w:rPr>
          <w:rFonts w:ascii="Times New Roman" w:eastAsia="Times New Roman" w:hAnsi="Times New Roman" w:cs="Times New Roman"/>
          <w:sz w:val="24"/>
          <w:szCs w:val="24"/>
        </w:rPr>
        <w:t>% соответственно.</w:t>
      </w:r>
    </w:p>
    <w:p w:rsidR="00FA0A73" w:rsidRPr="00DD43FB" w:rsidRDefault="00FA0A73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3FB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структуре налоговых доходов </w:t>
      </w:r>
      <w:r w:rsidR="001E0EFA" w:rsidRPr="00DD43F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960A6" w:rsidRPr="00DD43F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C22A5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0EFA" w:rsidRPr="00DD43FB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DD43FB">
        <w:rPr>
          <w:rFonts w:ascii="Times New Roman" w:eastAsia="Times New Roman" w:hAnsi="Times New Roman" w:cs="Times New Roman"/>
          <w:sz w:val="24"/>
          <w:szCs w:val="24"/>
        </w:rPr>
        <w:t xml:space="preserve">традиционно занимает земельный налог </w:t>
      </w:r>
      <w:r w:rsidR="001E0EFA" w:rsidRPr="00DD43F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4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2A5">
        <w:rPr>
          <w:rFonts w:ascii="Times New Roman" w:eastAsia="Times New Roman" w:hAnsi="Times New Roman" w:cs="Times New Roman"/>
          <w:sz w:val="24"/>
          <w:szCs w:val="24"/>
        </w:rPr>
        <w:t>71,8</w:t>
      </w:r>
      <w:r w:rsidRPr="00DD43FB">
        <w:rPr>
          <w:rFonts w:ascii="Times New Roman" w:eastAsia="Times New Roman" w:hAnsi="Times New Roman" w:cs="Times New Roman"/>
          <w:sz w:val="24"/>
          <w:szCs w:val="24"/>
        </w:rPr>
        <w:t xml:space="preserve">%, на втором месте по значимости налог на имущество физических лиц – </w:t>
      </w:r>
      <w:r w:rsidR="00F41BA2" w:rsidRPr="00DD43F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C22A5">
        <w:rPr>
          <w:rFonts w:ascii="Times New Roman" w:eastAsia="Times New Roman" w:hAnsi="Times New Roman" w:cs="Times New Roman"/>
          <w:sz w:val="24"/>
          <w:szCs w:val="24"/>
        </w:rPr>
        <w:t>4,1</w:t>
      </w:r>
      <w:r w:rsidRPr="00DD43F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92758" w:rsidRPr="0057233D" w:rsidRDefault="00B92758" w:rsidP="00A901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43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Прогнозируемое поступление налоговых </w:t>
      </w:r>
      <w:r w:rsidR="0057233D" w:rsidRPr="00DD43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неналоговых </w:t>
      </w:r>
      <w:r w:rsidRPr="00DD43FB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доходов бюджета</w:t>
      </w:r>
      <w:r w:rsidRPr="00D95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r w:rsidR="001960A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A6E7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11941" w:rsidRPr="00D95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D95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и плановом периоде </w:t>
      </w:r>
      <w:r w:rsidR="001960A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A6E7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95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1960A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A6E7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95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B92758" w:rsidRDefault="00B92758" w:rsidP="00B927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233D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FD0F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233D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730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709"/>
        <w:gridCol w:w="709"/>
        <w:gridCol w:w="567"/>
        <w:gridCol w:w="785"/>
        <w:gridCol w:w="774"/>
        <w:gridCol w:w="708"/>
        <w:gridCol w:w="709"/>
        <w:gridCol w:w="709"/>
        <w:gridCol w:w="643"/>
        <w:gridCol w:w="708"/>
        <w:gridCol w:w="709"/>
      </w:tblGrid>
      <w:tr w:rsidR="00B465F5" w:rsidRPr="001223F6" w:rsidTr="005015EE">
        <w:trPr>
          <w:trHeight w:val="58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F5" w:rsidRPr="001223F6" w:rsidRDefault="00B465F5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F5" w:rsidRPr="001223F6" w:rsidRDefault="00B465F5" w:rsidP="00FA6E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исполнение бюджета </w:t>
            </w:r>
            <w:r w:rsidR="001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A6E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F5" w:rsidRPr="001223F6" w:rsidRDefault="00B465F5" w:rsidP="00FA6E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Прог-ноз</w:t>
            </w:r>
            <w:proofErr w:type="spellEnd"/>
            <w:proofErr w:type="gramEnd"/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A6E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65F5" w:rsidRPr="001223F6" w:rsidRDefault="00B465F5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</w:t>
            </w:r>
            <w:proofErr w:type="spellEnd"/>
          </w:p>
          <w:p w:rsidR="00B465F5" w:rsidRPr="001223F6" w:rsidRDefault="00B465F5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тура, </w:t>
            </w:r>
          </w:p>
          <w:p w:rsidR="00B465F5" w:rsidRPr="001223F6" w:rsidRDefault="00B465F5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D0E" w:rsidRDefault="00B465F5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</w:t>
            </w:r>
            <w:proofErr w:type="spellEnd"/>
          </w:p>
          <w:p w:rsidR="000D3D0E" w:rsidRDefault="00B465F5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ноз</w:t>
            </w:r>
            <w:proofErr w:type="spellEnd"/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B465F5" w:rsidRPr="001223F6" w:rsidRDefault="001960A6" w:rsidP="00FA6E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A6E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B46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="00B465F5"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D0E" w:rsidRDefault="00B465F5" w:rsidP="00B465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</w:t>
            </w:r>
            <w:proofErr w:type="spellEnd"/>
          </w:p>
          <w:p w:rsidR="00B465F5" w:rsidRPr="001223F6" w:rsidRDefault="00B465F5" w:rsidP="00FA6E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ноз</w:t>
            </w:r>
            <w:proofErr w:type="spellEnd"/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A6E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F5" w:rsidRPr="001223F6" w:rsidRDefault="00B465F5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Прирост (снижение) доходов, тыс. руб.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F5" w:rsidRPr="001223F6" w:rsidRDefault="00B465F5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Темп роста доходов, %</w:t>
            </w:r>
          </w:p>
        </w:tc>
      </w:tr>
      <w:tr w:rsidR="00B465F5" w:rsidRPr="001223F6" w:rsidTr="005015EE">
        <w:trPr>
          <w:trHeight w:val="25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5F5" w:rsidRPr="001223F6" w:rsidRDefault="00B465F5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5F5" w:rsidRPr="001223F6" w:rsidRDefault="00B465F5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5F5" w:rsidRPr="001223F6" w:rsidRDefault="00B465F5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465F5" w:rsidRPr="001223F6" w:rsidRDefault="00B465F5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5F5" w:rsidRPr="001223F6" w:rsidRDefault="00B465F5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5F5" w:rsidRPr="001223F6" w:rsidRDefault="00B465F5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F5" w:rsidRPr="001223F6" w:rsidRDefault="00B465F5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F5" w:rsidRPr="001223F6" w:rsidRDefault="00B465F5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предыдущему году</w:t>
            </w:r>
          </w:p>
        </w:tc>
      </w:tr>
      <w:tr w:rsidR="006451F4" w:rsidRPr="001223F6" w:rsidTr="005015EE">
        <w:trPr>
          <w:trHeight w:val="67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51F4" w:rsidRPr="001223F6" w:rsidRDefault="006451F4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51F4" w:rsidRPr="001223F6" w:rsidRDefault="006451F4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51F4" w:rsidRPr="001223F6" w:rsidRDefault="006451F4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6451F4" w:rsidRPr="001223F6" w:rsidRDefault="006451F4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51F4" w:rsidRPr="001223F6" w:rsidRDefault="006451F4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51F4" w:rsidRPr="001223F6" w:rsidRDefault="006451F4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F4" w:rsidRPr="001223F6" w:rsidRDefault="006451F4" w:rsidP="006451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F4" w:rsidRPr="001223F6" w:rsidRDefault="006451F4" w:rsidP="006451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F4" w:rsidRPr="001223F6" w:rsidRDefault="006451F4" w:rsidP="006451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 год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F4" w:rsidRPr="001223F6" w:rsidRDefault="006451F4" w:rsidP="003E3D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F4" w:rsidRPr="001223F6" w:rsidRDefault="006451F4" w:rsidP="003E3D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F4" w:rsidRPr="001223F6" w:rsidRDefault="006451F4" w:rsidP="003E3D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 год</w:t>
            </w:r>
          </w:p>
        </w:tc>
      </w:tr>
      <w:tr w:rsidR="006451F4" w:rsidRPr="001223F6" w:rsidTr="005015EE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F4" w:rsidRPr="001223F6" w:rsidRDefault="006451F4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1192,0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1025,0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-36,0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96,5</w:t>
            </w:r>
          </w:p>
        </w:tc>
      </w:tr>
      <w:tr w:rsidR="006451F4" w:rsidRPr="001223F6" w:rsidTr="005015EE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F4" w:rsidRPr="001223F6" w:rsidRDefault="006451F4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6451F4" w:rsidRPr="001223F6" w:rsidTr="005015EE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F4" w:rsidRPr="001223F6" w:rsidRDefault="006451F4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Единый </w:t>
            </w:r>
            <w:proofErr w:type="spellStart"/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сельскохозяйст</w:t>
            </w:r>
            <w:proofErr w:type="spellEnd"/>
          </w:p>
          <w:p w:rsidR="006451F4" w:rsidRPr="001223F6" w:rsidRDefault="006451F4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6451F4" w:rsidRPr="001223F6" w:rsidTr="005015EE">
        <w:trPr>
          <w:trHeight w:val="2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F4" w:rsidRPr="001223F6" w:rsidRDefault="006451F4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-43,0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73,8</w:t>
            </w:r>
          </w:p>
        </w:tc>
      </w:tr>
      <w:tr w:rsidR="006451F4" w:rsidRPr="001223F6" w:rsidTr="005015EE">
        <w:trPr>
          <w:trHeight w:val="51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F4" w:rsidRPr="001223F6" w:rsidRDefault="006451F4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685,0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</w:t>
            </w:r>
          </w:p>
        </w:tc>
      </w:tr>
      <w:tr w:rsidR="006451F4" w:rsidRPr="001223F6" w:rsidTr="005015EE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F4" w:rsidRPr="001223F6" w:rsidRDefault="006451F4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 w:rsidP="003E3D0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 w:rsidP="003E3D0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1F4" w:rsidRPr="006451F4" w:rsidRDefault="006451F4" w:rsidP="003E3D0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451F4" w:rsidRPr="001223F6" w:rsidTr="005015EE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1F4" w:rsidRPr="001223F6" w:rsidRDefault="006451F4" w:rsidP="00687C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Задолженность и перерасчеты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451F4" w:rsidRPr="001223F6" w:rsidTr="005015EE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1F4" w:rsidRPr="001223F6" w:rsidRDefault="006451F4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6451F4" w:rsidRPr="001223F6" w:rsidTr="005015EE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1F4" w:rsidRPr="001223F6" w:rsidRDefault="006451F4" w:rsidP="003F11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  <w:proofErr w:type="gramEnd"/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полученные в виде арендной платы за земельные участки, государственная собственность на которые не разграничена, средства от продажи права аренды указанных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6451F4" w:rsidRPr="001223F6" w:rsidTr="005015EE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1F4" w:rsidRPr="001223F6" w:rsidRDefault="006451F4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3F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 w:rsidP="003E3D0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 w:rsidP="003E3D0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 w:rsidP="003E3D0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451F4" w:rsidRPr="001223F6" w:rsidTr="005015EE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1F4" w:rsidRPr="001223F6" w:rsidRDefault="006451F4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1F4" w:rsidRPr="006451F4" w:rsidRDefault="006451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 w:rsidP="003E3D0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 w:rsidP="003E3D0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1F4" w:rsidRPr="006451F4" w:rsidRDefault="006451F4" w:rsidP="003E3D0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1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B92758" w:rsidRPr="00A0709F" w:rsidRDefault="00B92758" w:rsidP="00A901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576">
        <w:rPr>
          <w:rFonts w:ascii="Times New Roman" w:eastAsia="Times New Roman" w:hAnsi="Times New Roman" w:cs="Times New Roman"/>
          <w:sz w:val="24"/>
          <w:szCs w:val="24"/>
        </w:rPr>
        <w:t xml:space="preserve">Поступление </w:t>
      </w:r>
      <w:r w:rsidRPr="00D00576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налога на доходы физических лиц</w:t>
      </w:r>
      <w:r w:rsidRPr="00D00576">
        <w:rPr>
          <w:rFonts w:ascii="Times New Roman" w:eastAsia="Times New Roman" w:hAnsi="Times New Roman" w:cs="Times New Roman"/>
          <w:sz w:val="24"/>
          <w:szCs w:val="24"/>
        </w:rPr>
        <w:t xml:space="preserve">  прогнозируется в сумме </w:t>
      </w:r>
      <w:r w:rsidR="008C22A5">
        <w:rPr>
          <w:rFonts w:ascii="Times New Roman" w:eastAsia="Times New Roman" w:hAnsi="Times New Roman" w:cs="Times New Roman"/>
          <w:sz w:val="24"/>
          <w:szCs w:val="24"/>
        </w:rPr>
        <w:t>151,0</w:t>
      </w:r>
      <w:r w:rsidR="00D00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576">
        <w:rPr>
          <w:rFonts w:ascii="Times New Roman" w:eastAsia="Times New Roman" w:hAnsi="Times New Roman" w:cs="Times New Roman"/>
          <w:sz w:val="24"/>
          <w:szCs w:val="24"/>
        </w:rPr>
        <w:t xml:space="preserve">тыс. рублей, что на </w:t>
      </w:r>
      <w:r w:rsidR="008C22A5">
        <w:rPr>
          <w:rFonts w:ascii="Times New Roman" w:eastAsia="Times New Roman" w:hAnsi="Times New Roman" w:cs="Times New Roman"/>
          <w:sz w:val="24"/>
          <w:szCs w:val="24"/>
        </w:rPr>
        <w:t>11,0</w:t>
      </w:r>
      <w:r w:rsidR="00572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576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8C22A5">
        <w:rPr>
          <w:rFonts w:ascii="Times New Roman" w:eastAsia="Times New Roman" w:hAnsi="Times New Roman" w:cs="Times New Roman"/>
          <w:sz w:val="24"/>
          <w:szCs w:val="24"/>
        </w:rPr>
        <w:t>7,9</w:t>
      </w:r>
      <w:r w:rsidRPr="00D00576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D907C3" w:rsidRPr="00D00576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806163" w:rsidRPr="00D00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576">
        <w:rPr>
          <w:rFonts w:ascii="Times New Roman" w:eastAsia="Times New Roman" w:hAnsi="Times New Roman" w:cs="Times New Roman"/>
          <w:sz w:val="24"/>
          <w:szCs w:val="24"/>
        </w:rPr>
        <w:t xml:space="preserve">ожидаемого исполнения бюджета </w:t>
      </w:r>
      <w:r w:rsidR="001960A6" w:rsidRPr="00D0057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C22A5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 w:rsidRPr="00D0057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00576">
        <w:rPr>
          <w:rFonts w:ascii="Times New Roman" w:eastAsia="Times New Roman" w:hAnsi="Times New Roman" w:cs="Times New Roman"/>
          <w:sz w:val="24"/>
          <w:szCs w:val="24"/>
        </w:rPr>
        <w:t xml:space="preserve">а. Расчет доходов бюджета по налогу на доходы физических лиц произведен исходя из ожидаемой оценки поступления налога в </w:t>
      </w:r>
      <w:r w:rsidR="001960A6" w:rsidRPr="00D0057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C22A5">
        <w:rPr>
          <w:rFonts w:ascii="Times New Roman" w:eastAsia="Times New Roman" w:hAnsi="Times New Roman" w:cs="Times New Roman"/>
          <w:sz w:val="24"/>
          <w:szCs w:val="24"/>
        </w:rPr>
        <w:t>4</w:t>
      </w:r>
      <w:r w:rsidR="00641A18" w:rsidRPr="00D00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576">
        <w:rPr>
          <w:rFonts w:ascii="Times New Roman" w:eastAsia="Times New Roman" w:hAnsi="Times New Roman" w:cs="Times New Roman"/>
          <w:sz w:val="24"/>
          <w:szCs w:val="24"/>
        </w:rPr>
        <w:t xml:space="preserve">году, скорректированных на темпы роста фонда оплаты труда на </w:t>
      </w:r>
      <w:r w:rsidR="001960A6" w:rsidRPr="00D0057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72085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 w:rsidRPr="00D0057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00576">
        <w:rPr>
          <w:rFonts w:ascii="Times New Roman" w:eastAsia="Times New Roman" w:hAnsi="Times New Roman" w:cs="Times New Roman"/>
          <w:sz w:val="24"/>
          <w:szCs w:val="24"/>
        </w:rPr>
        <w:t>, а так же норматива отчислений налога в бюджет. В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структуре собственных доходов бюджета на долю налога на доходы физических лиц  в </w:t>
      </w:r>
      <w:r w:rsidR="005720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C22A5">
        <w:rPr>
          <w:rFonts w:ascii="Times New Roman" w:eastAsia="Times New Roman" w:hAnsi="Times New Roman" w:cs="Times New Roman"/>
          <w:sz w:val="24"/>
          <w:szCs w:val="24"/>
        </w:rPr>
        <w:t>5</w:t>
      </w:r>
      <w:r w:rsidR="00572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8C22A5">
        <w:rPr>
          <w:rFonts w:ascii="Times New Roman" w:eastAsia="Times New Roman" w:hAnsi="Times New Roman" w:cs="Times New Roman"/>
          <w:sz w:val="24"/>
          <w:szCs w:val="24"/>
        </w:rPr>
        <w:t>14,0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%. Темп роста налога на доходы физических лиц в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ах к предыдущему году составляет </w:t>
      </w:r>
      <w:r w:rsidR="008C22A5">
        <w:rPr>
          <w:rFonts w:ascii="Times New Roman" w:eastAsia="Times New Roman" w:hAnsi="Times New Roman" w:cs="Times New Roman"/>
          <w:sz w:val="24"/>
          <w:szCs w:val="24"/>
        </w:rPr>
        <w:t>15,9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C22A5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B92758" w:rsidRPr="00A0709F" w:rsidRDefault="00B92758" w:rsidP="00A901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Прогнозный объем поступлений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налога на имущество физических лиц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рассчитан в сумме 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153,0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ожидаемого уровня исполнения бюджета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 xml:space="preserve">35,0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</w:t>
      </w:r>
      <w:r w:rsidR="00656AE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29,7</w:t>
      </w:r>
      <w:r w:rsidR="00656AE5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. Прогноз произведен на основании сведений налогового органа по налогу на имущество физических лиц за 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907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3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и погашения задолженности прошлых лет. В структуре собственных доходов бюджета на долю налога на имущество физических лиц в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14,1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%. Темп роста налога на имущество физических лиц в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ах к предыдущему году составляет </w:t>
      </w:r>
      <w:r w:rsidR="00572085">
        <w:rPr>
          <w:rFonts w:ascii="Times New Roman" w:eastAsia="Times New Roman" w:hAnsi="Times New Roman" w:cs="Times New Roman"/>
          <w:sz w:val="24"/>
          <w:szCs w:val="24"/>
        </w:rPr>
        <w:t>(-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7,2</w:t>
      </w:r>
      <w:r w:rsidR="0057208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(-26,2)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B92758" w:rsidRDefault="00B92758" w:rsidP="00A901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поступлений по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земельному налогу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рассчитан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в сумме  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777,0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2F444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157,0</w:t>
      </w:r>
      <w:r w:rsidR="002F444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16,8</w:t>
      </w:r>
      <w:r w:rsidR="002F444A">
        <w:rPr>
          <w:rFonts w:ascii="Times New Roman" w:eastAsia="Times New Roman" w:hAnsi="Times New Roman" w:cs="Times New Roman"/>
          <w:sz w:val="24"/>
          <w:szCs w:val="24"/>
        </w:rPr>
        <w:t xml:space="preserve">% ниже 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>ожидаемо</w:t>
      </w:r>
      <w:r w:rsidR="002F444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уровн</w:t>
      </w:r>
      <w:r w:rsidR="002F444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исполнения бюджета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а. В структуре собственных доходов бюджета на долю земельного налога в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71,8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%. Темп роста земельного налога в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ах к предыдущему году составляет 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(-11,8)%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1,0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</w:p>
    <w:p w:rsidR="00192A00" w:rsidRDefault="00192A00" w:rsidP="00A901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A00">
        <w:rPr>
          <w:rFonts w:ascii="Times New Roman" w:eastAsia="Times New Roman" w:hAnsi="Times New Roman" w:cs="Times New Roman"/>
          <w:b/>
          <w:sz w:val="24"/>
          <w:szCs w:val="24"/>
        </w:rPr>
        <w:t>Задолженность и перерасчеты по отмененным налогам</w:t>
      </w:r>
      <w:r w:rsidRPr="00192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5D2" w:rsidRPr="006245D2">
        <w:rPr>
          <w:rFonts w:ascii="Times New Roman" w:eastAsia="Times New Roman" w:hAnsi="Times New Roman" w:cs="Times New Roman"/>
          <w:sz w:val="24"/>
          <w:szCs w:val="24"/>
        </w:rPr>
        <w:t xml:space="preserve">поступлений </w:t>
      </w:r>
      <w:r w:rsidR="006245D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245D2" w:rsidRPr="006245D2">
        <w:rPr>
          <w:rFonts w:ascii="Times New Roman" w:eastAsia="Times New Roman" w:hAnsi="Times New Roman" w:cs="Times New Roman"/>
          <w:sz w:val="24"/>
          <w:szCs w:val="24"/>
        </w:rPr>
        <w:t>данного источника не планируется.</w:t>
      </w:r>
    </w:p>
    <w:p w:rsidR="00B92758" w:rsidRDefault="00B92758" w:rsidP="00A901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 поступлений </w:t>
      </w:r>
      <w:r w:rsidRPr="00A0709F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 пошлины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F81">
        <w:rPr>
          <w:rFonts w:ascii="Times New Roman" w:eastAsia="Times New Roman" w:hAnsi="Times New Roman" w:cs="Times New Roman"/>
          <w:sz w:val="24"/>
          <w:szCs w:val="24"/>
        </w:rPr>
        <w:t xml:space="preserve">поступлений </w:t>
      </w:r>
      <w:r w:rsidR="006245D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92A00">
        <w:rPr>
          <w:rFonts w:ascii="Times New Roman" w:eastAsia="Times New Roman" w:hAnsi="Times New Roman" w:cs="Times New Roman"/>
          <w:sz w:val="24"/>
          <w:szCs w:val="24"/>
        </w:rPr>
        <w:t xml:space="preserve">данного источника </w:t>
      </w:r>
      <w:r w:rsidR="00331F81">
        <w:rPr>
          <w:rFonts w:ascii="Times New Roman" w:eastAsia="Times New Roman" w:hAnsi="Times New Roman" w:cs="Times New Roman"/>
          <w:sz w:val="24"/>
          <w:szCs w:val="24"/>
        </w:rPr>
        <w:t>не планируется.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399D" w:rsidRDefault="00A0709F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8E6">
        <w:rPr>
          <w:rFonts w:ascii="Times New Roman" w:eastAsia="Times New Roman" w:hAnsi="Times New Roman" w:cs="Times New Roman"/>
          <w:b/>
          <w:sz w:val="24"/>
          <w:szCs w:val="24"/>
        </w:rPr>
        <w:t>Неналоговые доходы бюджета</w:t>
      </w:r>
      <w:r w:rsidRPr="00B6665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B6665C">
        <w:rPr>
          <w:rFonts w:ascii="Times New Roman" w:eastAsia="Times New Roman" w:hAnsi="Times New Roman" w:cs="Times New Roman"/>
          <w:sz w:val="24"/>
          <w:szCs w:val="24"/>
        </w:rPr>
        <w:t xml:space="preserve"> прогнозируются в объеме </w:t>
      </w:r>
      <w:r w:rsidR="00C8790A">
        <w:rPr>
          <w:rFonts w:ascii="Times New Roman" w:eastAsia="Times New Roman" w:hAnsi="Times New Roman" w:cs="Times New Roman"/>
          <w:sz w:val="24"/>
          <w:szCs w:val="24"/>
        </w:rPr>
        <w:t>49,0</w:t>
      </w:r>
      <w:r w:rsidRPr="00B6665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25399D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="00C87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ожидаемой оценке исполнения 2024 года. </w:t>
      </w:r>
      <w:r w:rsidR="0025399D" w:rsidRPr="00A0709F">
        <w:rPr>
          <w:rFonts w:ascii="Times New Roman" w:eastAsia="Times New Roman" w:hAnsi="Times New Roman" w:cs="Times New Roman"/>
          <w:sz w:val="24"/>
          <w:szCs w:val="24"/>
        </w:rPr>
        <w:t xml:space="preserve">В структуре </w:t>
      </w:r>
      <w:r w:rsidR="00CD42DE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="00583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99D" w:rsidRPr="00A0709F">
        <w:rPr>
          <w:rFonts w:ascii="Times New Roman" w:eastAsia="Times New Roman" w:hAnsi="Times New Roman" w:cs="Times New Roman"/>
          <w:sz w:val="24"/>
          <w:szCs w:val="24"/>
        </w:rPr>
        <w:t xml:space="preserve">доходов бюджета на долю </w:t>
      </w:r>
      <w:r w:rsidR="0025399D">
        <w:rPr>
          <w:rFonts w:ascii="Times New Roman" w:eastAsia="Times New Roman" w:hAnsi="Times New Roman" w:cs="Times New Roman"/>
          <w:sz w:val="24"/>
          <w:szCs w:val="24"/>
        </w:rPr>
        <w:t xml:space="preserve">неналоговых доходов </w:t>
      </w:r>
      <w:r w:rsidR="0025399D" w:rsidRPr="00A0709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5399D" w:rsidRPr="00A0709F">
        <w:rPr>
          <w:rFonts w:ascii="Times New Roman" w:eastAsia="Times New Roman" w:hAnsi="Times New Roman" w:cs="Times New Roman"/>
          <w:sz w:val="24"/>
          <w:szCs w:val="24"/>
        </w:rPr>
        <w:t xml:space="preserve">у приходится 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1,3</w:t>
      </w:r>
      <w:r w:rsidR="0025399D" w:rsidRPr="00A0709F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25399D" w:rsidRPr="00A0709F" w:rsidRDefault="0025399D" w:rsidP="00A901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99D">
        <w:rPr>
          <w:rFonts w:ascii="Times New Roman" w:eastAsia="Times New Roman" w:hAnsi="Times New Roman" w:cs="Times New Roman"/>
          <w:b/>
          <w:sz w:val="24"/>
          <w:szCs w:val="24"/>
        </w:rPr>
        <w:t>Доходы</w:t>
      </w:r>
      <w:r w:rsidR="00E00D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5399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полученные в виде арендной платы за земельные участки, государственная собственность на которые не разграничена, средства от продажи права аренды указанных участков</w:t>
      </w:r>
      <w:r w:rsidRPr="0025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планируются в сумме </w:t>
      </w:r>
      <w:r w:rsidR="00DD4C8E">
        <w:rPr>
          <w:rFonts w:ascii="Times New Roman" w:eastAsia="Times New Roman" w:hAnsi="Times New Roman" w:cs="Times New Roman"/>
          <w:sz w:val="24"/>
          <w:szCs w:val="24"/>
        </w:rPr>
        <w:t>49,0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  <w:r w:rsidR="00CA7708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соответствует исполнению прошлого года.</w:t>
      </w:r>
      <w:r w:rsidR="00CA7708" w:rsidRPr="00B66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C8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D4C8E">
        <w:rPr>
          <w:rFonts w:ascii="Times New Roman" w:eastAsia="Times New Roman" w:hAnsi="Times New Roman" w:cs="Times New Roman"/>
          <w:sz w:val="24"/>
          <w:szCs w:val="24"/>
        </w:rPr>
        <w:t>ы доходы запланированы в том же объеме.</w:t>
      </w:r>
      <w:r w:rsidRPr="00A0709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113BF" w:rsidRDefault="0025399D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A0709F" w:rsidRPr="00DB38E6">
        <w:rPr>
          <w:rFonts w:ascii="Times New Roman" w:eastAsia="Times New Roman" w:hAnsi="Times New Roman" w:cs="Times New Roman"/>
          <w:b/>
          <w:sz w:val="24"/>
          <w:szCs w:val="24"/>
        </w:rPr>
        <w:t>оход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A0709F" w:rsidRPr="00DB38E6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продажи </w:t>
      </w:r>
      <w:r w:rsidR="00CD42DE">
        <w:rPr>
          <w:rFonts w:ascii="Times New Roman" w:eastAsia="Times New Roman" w:hAnsi="Times New Roman" w:cs="Times New Roman"/>
          <w:b/>
          <w:sz w:val="24"/>
          <w:szCs w:val="24"/>
        </w:rPr>
        <w:t>материальных и нематериальных активов</w:t>
      </w:r>
      <w:r w:rsidR="00A0709F" w:rsidRPr="00B66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3BF" w:rsidRPr="00B113BF">
        <w:rPr>
          <w:rFonts w:ascii="Times New Roman" w:eastAsia="Times New Roman" w:hAnsi="Times New Roman" w:cs="Times New Roman"/>
          <w:sz w:val="24"/>
          <w:szCs w:val="24"/>
        </w:rPr>
        <w:t xml:space="preserve">поступлений от данного источника не планируется. </w:t>
      </w:r>
    </w:p>
    <w:p w:rsidR="00804D97" w:rsidRPr="00B5384A" w:rsidRDefault="00804D97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84A">
        <w:rPr>
          <w:rFonts w:ascii="Times New Roman" w:eastAsia="Times New Roman" w:hAnsi="Times New Roman" w:cs="Times New Roman"/>
          <w:b/>
          <w:sz w:val="24"/>
          <w:szCs w:val="24"/>
        </w:rPr>
        <w:t>Прочие неналоговые доходы</w:t>
      </w:r>
      <w:r w:rsidRPr="00B53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3BF" w:rsidRPr="00B5384A">
        <w:rPr>
          <w:rFonts w:ascii="Times New Roman" w:eastAsia="Times New Roman" w:hAnsi="Times New Roman" w:cs="Times New Roman"/>
          <w:sz w:val="24"/>
          <w:szCs w:val="24"/>
        </w:rPr>
        <w:t>поступлений от данного источника не планируется.</w:t>
      </w:r>
    </w:p>
    <w:p w:rsidR="005D0EAE" w:rsidRPr="00B5384A" w:rsidRDefault="005D0EAE" w:rsidP="00A901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84A">
        <w:rPr>
          <w:rFonts w:ascii="Times New Roman" w:eastAsia="Times New Roman" w:hAnsi="Times New Roman" w:cs="Times New Roman"/>
          <w:b/>
          <w:sz w:val="24"/>
          <w:szCs w:val="24"/>
        </w:rPr>
        <w:t>Безвозмездные поступления</w:t>
      </w:r>
      <w:r w:rsidRPr="00B5384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1960A6" w:rsidRPr="00B5384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64E09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 w:rsidRPr="00B5384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B5384A">
        <w:rPr>
          <w:rFonts w:ascii="Times New Roman" w:eastAsia="Times New Roman" w:hAnsi="Times New Roman" w:cs="Times New Roman"/>
          <w:sz w:val="24"/>
          <w:szCs w:val="24"/>
        </w:rPr>
        <w:t xml:space="preserve">у планируются в сумме </w:t>
      </w:r>
      <w:r w:rsidR="00B5384A">
        <w:rPr>
          <w:rFonts w:ascii="Times New Roman" w:eastAsia="Times New Roman" w:hAnsi="Times New Roman" w:cs="Times New Roman"/>
          <w:sz w:val="24"/>
          <w:szCs w:val="24"/>
        </w:rPr>
        <w:t>1690,0</w:t>
      </w:r>
      <w:r w:rsidRPr="00B5384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</w:t>
      </w:r>
      <w:r w:rsidR="00B5384A">
        <w:rPr>
          <w:rFonts w:ascii="Times New Roman" w:eastAsia="Times New Roman" w:hAnsi="Times New Roman" w:cs="Times New Roman"/>
          <w:sz w:val="24"/>
          <w:szCs w:val="24"/>
        </w:rPr>
        <w:t xml:space="preserve"> ниже</w:t>
      </w:r>
      <w:r w:rsidR="00462A13" w:rsidRPr="00B53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ожидаемого уровня исполнения бюджета </w:t>
      </w:r>
      <w:r w:rsidR="001960A6"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>202</w:t>
      </w:r>
      <w:r w:rsidR="00B5384A"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>3</w:t>
      </w:r>
      <w:r w:rsidR="00F11941"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год</w:t>
      </w:r>
      <w:r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а на </w:t>
      </w:r>
      <w:r w:rsidR="00B5384A"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>3039,0</w:t>
      </w:r>
      <w:r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тыс. рублей,  или</w:t>
      </w:r>
      <w:r w:rsidR="00B5384A"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 2,3 раза</w:t>
      </w:r>
      <w:r w:rsidR="002A689A"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536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r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Безвозмездные поступления в </w:t>
      </w:r>
      <w:r w:rsidR="001960A6"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>202</w:t>
      </w:r>
      <w:r w:rsidR="00B5384A"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>4</w:t>
      </w:r>
      <w:r w:rsidR="00F11941"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год</w:t>
      </w:r>
      <w:r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>у</w:t>
      </w:r>
      <w:r w:rsidRPr="00536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r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 структуре доходов бюджета занимают </w:t>
      </w:r>
      <w:r w:rsidR="00B5384A"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>57,7</w:t>
      </w:r>
      <w:r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%. Темп роста безвозмездных поступлений в </w:t>
      </w:r>
      <w:r w:rsidR="00BD3688"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>2026-2027</w:t>
      </w:r>
      <w:r w:rsidR="00F11941"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год</w:t>
      </w:r>
      <w:r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ах к предыдущему году составляет </w:t>
      </w:r>
      <w:r w:rsidR="00696845"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822ED7"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>(</w:t>
      </w:r>
      <w:r w:rsidR="00696845"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>-</w:t>
      </w:r>
      <w:r w:rsidR="00B5384A"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>75,5</w:t>
      </w:r>
      <w:r w:rsidR="00822ED7"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% и </w:t>
      </w:r>
      <w:r w:rsidR="00B5384A"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>3,4</w:t>
      </w:r>
      <w:r w:rsidRPr="00536D53">
        <w:rPr>
          <w:rFonts w:ascii="Times New Roman" w:eastAsia="Times New Roman" w:hAnsi="Times New Roman" w:cs="Times New Roman"/>
          <w:sz w:val="24"/>
          <w:szCs w:val="24"/>
          <w:highlight w:val="yellow"/>
        </w:rPr>
        <w:t>% соответственно.</w:t>
      </w:r>
      <w:r w:rsidRPr="00B5384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92758" w:rsidRPr="00DB38E6" w:rsidRDefault="00B92758" w:rsidP="00A901E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5384A">
        <w:rPr>
          <w:rFonts w:ascii="Times New Roman" w:hAnsi="Times New Roman" w:cs="Times New Roman"/>
          <w:b/>
          <w:bCs/>
          <w:sz w:val="24"/>
          <w:szCs w:val="24"/>
        </w:rPr>
        <w:t>Прогнозируемое поступление безвозмездных</w:t>
      </w:r>
      <w:r w:rsidRPr="00DB38E6">
        <w:rPr>
          <w:rFonts w:ascii="Times New Roman" w:hAnsi="Times New Roman" w:cs="Times New Roman"/>
          <w:b/>
          <w:bCs/>
          <w:sz w:val="24"/>
          <w:szCs w:val="24"/>
        </w:rPr>
        <w:t xml:space="preserve"> поступлений</w:t>
      </w:r>
    </w:p>
    <w:p w:rsidR="00B92758" w:rsidRPr="00DB38E6" w:rsidRDefault="00B92758" w:rsidP="00A901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1960A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536D5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Pr="00DB3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и плановом периоде </w:t>
      </w:r>
      <w:r w:rsidR="001960A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536D5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B3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1960A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536D5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B3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B92758" w:rsidRDefault="00B92758" w:rsidP="00B927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8E6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F72A2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B38E6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W w:w="937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745"/>
        <w:gridCol w:w="633"/>
        <w:gridCol w:w="633"/>
        <w:gridCol w:w="633"/>
        <w:gridCol w:w="633"/>
        <w:gridCol w:w="709"/>
        <w:gridCol w:w="567"/>
        <w:gridCol w:w="567"/>
        <w:gridCol w:w="692"/>
        <w:gridCol w:w="708"/>
        <w:gridCol w:w="709"/>
      </w:tblGrid>
      <w:tr w:rsidR="00804D97" w:rsidRPr="00967271" w:rsidTr="00F72A27">
        <w:trPr>
          <w:trHeight w:val="58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D97" w:rsidRPr="00967271" w:rsidRDefault="00804D9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D97" w:rsidRPr="00967271" w:rsidRDefault="00804D97" w:rsidP="004100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Ожидаемое исполнение </w:t>
            </w:r>
            <w:proofErr w:type="spellStart"/>
            <w:proofErr w:type="gramStart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бюд-жета</w:t>
            </w:r>
            <w:proofErr w:type="spellEnd"/>
            <w:proofErr w:type="gramEnd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9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100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D97" w:rsidRPr="00967271" w:rsidRDefault="00804D97" w:rsidP="004100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9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100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804D97" w:rsidRPr="00967271" w:rsidRDefault="00804D9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</w:p>
          <w:p w:rsidR="00804D97" w:rsidRPr="00967271" w:rsidRDefault="00804D9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тура,</w:t>
            </w:r>
          </w:p>
          <w:p w:rsidR="00804D97" w:rsidRPr="00967271" w:rsidRDefault="00804D9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single" w:sz="4" w:space="0" w:color="auto"/>
              </w:rPr>
              <w:t xml:space="preserve"> %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D97" w:rsidRPr="00967271" w:rsidRDefault="00804D97" w:rsidP="004100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9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100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D97" w:rsidRPr="00967271" w:rsidRDefault="00804D97" w:rsidP="004100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Прог-ноз</w:t>
            </w:r>
            <w:proofErr w:type="spellEnd"/>
            <w:proofErr w:type="gramEnd"/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9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100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D97" w:rsidRPr="00967271" w:rsidRDefault="00804D9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Прирост (снижение) доходов, тыс. руб.</w:t>
            </w:r>
          </w:p>
        </w:tc>
        <w:tc>
          <w:tcPr>
            <w:tcW w:w="21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D97" w:rsidRPr="00967271" w:rsidRDefault="00804D9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Темп роста доходов, %</w:t>
            </w:r>
          </w:p>
        </w:tc>
      </w:tr>
      <w:tr w:rsidR="00804D97" w:rsidRPr="00967271" w:rsidTr="00F72A27">
        <w:trPr>
          <w:trHeight w:val="25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D97" w:rsidRPr="00967271" w:rsidRDefault="00804D97" w:rsidP="002B49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D97" w:rsidRPr="00967271" w:rsidRDefault="00804D97" w:rsidP="002B49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D97" w:rsidRPr="00967271" w:rsidRDefault="00804D97" w:rsidP="002B49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left w:val="nil"/>
              <w:right w:val="single" w:sz="4" w:space="0" w:color="auto"/>
            </w:tcBorders>
          </w:tcPr>
          <w:p w:rsidR="00804D97" w:rsidRPr="00967271" w:rsidRDefault="00804D97" w:rsidP="002B49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D97" w:rsidRPr="00967271" w:rsidRDefault="00804D97" w:rsidP="002B49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D97" w:rsidRPr="00967271" w:rsidRDefault="00804D97" w:rsidP="002B49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D97" w:rsidRPr="00967271" w:rsidRDefault="00804D9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предыдущему году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D97" w:rsidRPr="00967271" w:rsidRDefault="00804D9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предыдущему году</w:t>
            </w:r>
          </w:p>
        </w:tc>
      </w:tr>
      <w:tr w:rsidR="00536D53" w:rsidRPr="00967271" w:rsidTr="00F72A27">
        <w:trPr>
          <w:trHeight w:val="67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6D53" w:rsidRPr="00967271" w:rsidRDefault="00536D53" w:rsidP="002B49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6D53" w:rsidRPr="00967271" w:rsidRDefault="00536D53" w:rsidP="002B49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6D53" w:rsidRPr="00967271" w:rsidRDefault="00536D53" w:rsidP="002B49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536D53" w:rsidRPr="00967271" w:rsidRDefault="00536D53" w:rsidP="002B49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6D53" w:rsidRPr="00967271" w:rsidRDefault="00536D53" w:rsidP="002B49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6D53" w:rsidRPr="00967271" w:rsidRDefault="00536D53" w:rsidP="002B49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D53" w:rsidRPr="00967271" w:rsidRDefault="00536D53" w:rsidP="00536D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D53" w:rsidRPr="00967271" w:rsidRDefault="00536D53" w:rsidP="00536D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D53" w:rsidRPr="00967271" w:rsidRDefault="00536D53" w:rsidP="00536D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D53" w:rsidRPr="00967271" w:rsidRDefault="00536D53" w:rsidP="003E3D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D53" w:rsidRDefault="00536D53" w:rsidP="003E3D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  <w:p w:rsidR="00536D53" w:rsidRPr="00967271" w:rsidRDefault="00536D53" w:rsidP="003E3D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D53" w:rsidRPr="00967271" w:rsidRDefault="00536D53" w:rsidP="003E3D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D2690B" w:rsidRPr="00967271" w:rsidTr="00C03FCE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0B" w:rsidRPr="00967271" w:rsidRDefault="00D2690B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6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2290,0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6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2601,3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6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424,4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69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-2176,9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101,5</w:t>
            </w:r>
          </w:p>
        </w:tc>
      </w:tr>
      <w:tr w:rsidR="00D2690B" w:rsidRPr="00967271" w:rsidTr="00C03FCE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0B" w:rsidRPr="004133FC" w:rsidRDefault="00D2690B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3FC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2152,0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2445,0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-2192,0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D2690B" w:rsidRPr="00967271" w:rsidTr="00C03FCE">
        <w:trPr>
          <w:trHeight w:val="7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0B" w:rsidRPr="004133FC" w:rsidRDefault="00D2690B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3F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2690B" w:rsidRPr="00967271" w:rsidTr="00C03FCE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0B" w:rsidRPr="004133FC" w:rsidRDefault="00D2690B" w:rsidP="00175D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3FC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90B" w:rsidRPr="00D2690B" w:rsidRDefault="00D269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103,6</w:t>
            </w:r>
          </w:p>
        </w:tc>
      </w:tr>
    </w:tbl>
    <w:p w:rsidR="00F6532E" w:rsidRPr="0084106A" w:rsidRDefault="00F6532E" w:rsidP="00A901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структуре безвозмездных поступлений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269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составляют </w:t>
      </w:r>
      <w:r w:rsidR="001A5B3D">
        <w:rPr>
          <w:rFonts w:ascii="Times New Roman" w:eastAsia="Times New Roman" w:hAnsi="Times New Roman" w:cs="Times New Roman"/>
          <w:sz w:val="24"/>
          <w:szCs w:val="24"/>
        </w:rPr>
        <w:t>дотации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бюджетам субъектов РФ и муниципальных образований – </w:t>
      </w:r>
      <w:r w:rsidR="001120E8">
        <w:rPr>
          <w:rFonts w:ascii="Times New Roman" w:eastAsia="Times New Roman" w:hAnsi="Times New Roman" w:cs="Times New Roman"/>
          <w:sz w:val="24"/>
          <w:szCs w:val="24"/>
        </w:rPr>
        <w:t>94,0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7F46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Дотации в бюджете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120E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запланированы в сумме </w:t>
      </w:r>
      <w:r w:rsidR="001120E8">
        <w:rPr>
          <w:rFonts w:ascii="Times New Roman" w:eastAsia="Times New Roman" w:hAnsi="Times New Roman" w:cs="Times New Roman"/>
          <w:sz w:val="24"/>
          <w:szCs w:val="24"/>
        </w:rPr>
        <w:t>2445,0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1120E8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9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ожидаемого исполнения бюджета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120E8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 на </w:t>
      </w:r>
      <w:r w:rsidR="001120E8">
        <w:rPr>
          <w:rFonts w:ascii="Times New Roman" w:eastAsia="Times New Roman" w:hAnsi="Times New Roman" w:cs="Times New Roman"/>
          <w:sz w:val="24"/>
          <w:szCs w:val="24"/>
        </w:rPr>
        <w:t>293,0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1120E8">
        <w:rPr>
          <w:rFonts w:ascii="Times New Roman" w:eastAsia="Times New Roman" w:hAnsi="Times New Roman" w:cs="Times New Roman"/>
          <w:sz w:val="24"/>
          <w:szCs w:val="24"/>
        </w:rPr>
        <w:t>13,6</w:t>
      </w:r>
      <w:r w:rsidR="002F334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. Темп роста дотаций в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ах к предыдущему году составляет </w:t>
      </w:r>
      <w:r w:rsidR="00945C6B">
        <w:rPr>
          <w:rFonts w:ascii="Times New Roman" w:eastAsia="Times New Roman" w:hAnsi="Times New Roman" w:cs="Times New Roman"/>
          <w:sz w:val="24"/>
          <w:szCs w:val="24"/>
        </w:rPr>
        <w:t>(-</w:t>
      </w:r>
      <w:r w:rsidR="001120E8">
        <w:rPr>
          <w:rFonts w:ascii="Times New Roman" w:eastAsia="Times New Roman" w:hAnsi="Times New Roman" w:cs="Times New Roman"/>
          <w:sz w:val="24"/>
          <w:szCs w:val="24"/>
        </w:rPr>
        <w:t xml:space="preserve"> 89,7</w:t>
      </w:r>
      <w:r w:rsidR="00E605A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945C6B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  </w:t>
      </w:r>
      <w:proofErr w:type="gramEnd"/>
    </w:p>
    <w:p w:rsidR="00F6532E" w:rsidRPr="0084106A" w:rsidRDefault="00F6532E" w:rsidP="00A901E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Дотации предусмотрены </w:t>
      </w:r>
      <w:proofErr w:type="gramStart"/>
      <w:r w:rsidRPr="0084106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410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532E" w:rsidRDefault="00F6532E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- выравнивание бюджетной обеспеченности в сумме </w:t>
      </w:r>
      <w:r w:rsidR="00536AEA">
        <w:rPr>
          <w:rFonts w:ascii="Times New Roman" w:eastAsia="Times New Roman" w:hAnsi="Times New Roman" w:cs="Times New Roman"/>
          <w:sz w:val="24"/>
          <w:szCs w:val="24"/>
        </w:rPr>
        <w:t xml:space="preserve">253,0 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874FBB" w:rsidRPr="0084106A" w:rsidRDefault="00874FBB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обеспечение мер по сбалансированности 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536AEA">
        <w:rPr>
          <w:rFonts w:ascii="Times New Roman" w:eastAsia="Times New Roman" w:hAnsi="Times New Roman" w:cs="Times New Roman"/>
          <w:sz w:val="24"/>
          <w:szCs w:val="24"/>
        </w:rPr>
        <w:t>2192,0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532E" w:rsidRPr="0084106A" w:rsidRDefault="00F6532E" w:rsidP="00A901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Субвенции в бюджете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120E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а составляют </w:t>
      </w:r>
      <w:r w:rsidR="00536AEA">
        <w:rPr>
          <w:rFonts w:ascii="Times New Roman" w:eastAsia="Times New Roman" w:hAnsi="Times New Roman" w:cs="Times New Roman"/>
          <w:sz w:val="24"/>
          <w:szCs w:val="24"/>
        </w:rPr>
        <w:t>156,3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</w:t>
      </w:r>
      <w:r w:rsidR="00744D1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36AEA">
        <w:rPr>
          <w:rFonts w:ascii="Times New Roman" w:eastAsia="Times New Roman" w:hAnsi="Times New Roman" w:cs="Times New Roman"/>
          <w:sz w:val="24"/>
          <w:szCs w:val="24"/>
        </w:rPr>
        <w:t>18,3</w:t>
      </w:r>
      <w:r w:rsidR="00E60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D18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</w:t>
      </w:r>
      <w:r w:rsidR="00536AEA">
        <w:rPr>
          <w:rFonts w:ascii="Times New Roman" w:eastAsia="Times New Roman" w:hAnsi="Times New Roman" w:cs="Times New Roman"/>
          <w:sz w:val="24"/>
          <w:szCs w:val="24"/>
        </w:rPr>
        <w:t>13,3</w:t>
      </w:r>
      <w:r w:rsidR="00744D18">
        <w:rPr>
          <w:rFonts w:ascii="Times New Roman" w:eastAsia="Times New Roman" w:hAnsi="Times New Roman" w:cs="Times New Roman"/>
          <w:sz w:val="24"/>
          <w:szCs w:val="24"/>
        </w:rPr>
        <w:t xml:space="preserve">% выше </w:t>
      </w:r>
      <w:r w:rsidR="00D17A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>жидаемо</w:t>
      </w:r>
      <w:r w:rsidR="00744D18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744D1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36A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D17AD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 Удельный вес субвенций в структуре безвозмездных поступлений составляет </w:t>
      </w:r>
      <w:r w:rsidR="00536AEA">
        <w:rPr>
          <w:rFonts w:ascii="Times New Roman" w:eastAsia="Times New Roman" w:hAnsi="Times New Roman" w:cs="Times New Roman"/>
          <w:sz w:val="24"/>
          <w:szCs w:val="24"/>
        </w:rPr>
        <w:t>6,0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%. Темп роста субвенций в </w:t>
      </w:r>
      <w:r w:rsidR="00D17AD1">
        <w:rPr>
          <w:rFonts w:ascii="Times New Roman" w:eastAsia="Times New Roman" w:hAnsi="Times New Roman" w:cs="Times New Roman"/>
          <w:sz w:val="24"/>
          <w:szCs w:val="24"/>
        </w:rPr>
        <w:t xml:space="preserve">плановом  периоде 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к предыдущему году составляет </w:t>
      </w:r>
      <w:r w:rsidR="00536AEA">
        <w:rPr>
          <w:rFonts w:ascii="Times New Roman" w:eastAsia="Times New Roman" w:hAnsi="Times New Roman" w:cs="Times New Roman"/>
          <w:sz w:val="24"/>
          <w:szCs w:val="24"/>
        </w:rPr>
        <w:t>9,7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536AEA">
        <w:rPr>
          <w:rFonts w:ascii="Times New Roman" w:eastAsia="Times New Roman" w:hAnsi="Times New Roman" w:cs="Times New Roman"/>
          <w:sz w:val="24"/>
          <w:szCs w:val="24"/>
        </w:rPr>
        <w:t>3,6</w:t>
      </w:r>
      <w:r w:rsidRPr="0084106A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 Субвенции предусмотрены на осуществление первичного воинского учета на территориях, где отсутствуют военные комиссариаты. </w:t>
      </w:r>
    </w:p>
    <w:p w:rsidR="00B92758" w:rsidRPr="002B7003" w:rsidRDefault="00B92758" w:rsidP="00A901EC">
      <w:pPr>
        <w:shd w:val="clear" w:color="auto" w:fill="FFFFFF"/>
        <w:spacing w:after="0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00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расходной части проекта бюджета</w:t>
      </w:r>
    </w:p>
    <w:p w:rsidR="00B92758" w:rsidRPr="002B7003" w:rsidRDefault="00B92758" w:rsidP="00A901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Объем расходов, определенный в проекте решения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2B7003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1120E8">
        <w:rPr>
          <w:rFonts w:ascii="Times New Roman" w:eastAsia="Times New Roman" w:hAnsi="Times New Roman" w:cs="Times New Roman"/>
          <w:sz w:val="24"/>
          <w:szCs w:val="24"/>
        </w:rPr>
        <w:t>3732,3</w:t>
      </w:r>
      <w:r w:rsidRPr="002B7003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5D2975" w:rsidRPr="002B70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20E8">
        <w:rPr>
          <w:rFonts w:ascii="Times New Roman" w:eastAsia="Times New Roman" w:hAnsi="Times New Roman" w:cs="Times New Roman"/>
          <w:sz w:val="24"/>
          <w:szCs w:val="24"/>
        </w:rPr>
        <w:t>1498,4</w:t>
      </w:r>
      <w:r w:rsidR="005D2975" w:rsidRPr="002B7003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</w:t>
      </w:r>
      <w:r w:rsidR="001120E8">
        <w:rPr>
          <w:rFonts w:ascii="Times New Roman" w:eastAsia="Times New Roman" w:hAnsi="Times New Roman" w:cs="Times New Roman"/>
          <w:sz w:val="24"/>
          <w:szCs w:val="24"/>
        </w:rPr>
        <w:t>1468,6</w:t>
      </w:r>
      <w:r w:rsidR="005D2975" w:rsidRPr="002B7003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соответственно.</w:t>
      </w:r>
      <w:r w:rsidRPr="002B7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2758" w:rsidRPr="002B7003" w:rsidRDefault="00B92758" w:rsidP="00B92758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7003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2B70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структуры расходов бюджета поселения за </w:t>
      </w:r>
      <w:r w:rsidR="001960A6" w:rsidRPr="002B7003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71DB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B700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1960A6" w:rsidRPr="002B7003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71DBF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F11941" w:rsidRPr="002B70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B92758" w:rsidRDefault="00B92758" w:rsidP="00B92758">
      <w:pPr>
        <w:overflowPunct w:val="0"/>
        <w:spacing w:after="0" w:line="264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7003">
        <w:rPr>
          <w:rFonts w:ascii="Times New Roman" w:eastAsia="Times New Roman" w:hAnsi="Times New Roman" w:cs="Times New Roman"/>
          <w:sz w:val="24"/>
          <w:szCs w:val="24"/>
        </w:rPr>
        <w:t>Таблица№</w:t>
      </w:r>
      <w:r w:rsidR="00452E4A" w:rsidRPr="002B7003">
        <w:rPr>
          <w:rFonts w:ascii="Times New Roman" w:eastAsia="Times New Roman" w:hAnsi="Times New Roman" w:cs="Times New Roman"/>
          <w:sz w:val="24"/>
          <w:szCs w:val="24"/>
        </w:rPr>
        <w:t>6</w:t>
      </w:r>
      <w:r w:rsidR="00913843" w:rsidRPr="002B7003">
        <w:rPr>
          <w:rFonts w:ascii="Times New Roman" w:eastAsia="Times New Roman" w:hAnsi="Times New Roman" w:cs="Times New Roman"/>
          <w:sz w:val="24"/>
          <w:szCs w:val="24"/>
        </w:rPr>
        <w:t>, тыс</w:t>
      </w:r>
      <w:r w:rsidR="00913843">
        <w:rPr>
          <w:rFonts w:ascii="Times New Roman" w:eastAsia="Times New Roman" w:hAnsi="Times New Roman" w:cs="Times New Roman"/>
          <w:sz w:val="24"/>
          <w:szCs w:val="24"/>
        </w:rPr>
        <w:t>. рублей</w:t>
      </w:r>
    </w:p>
    <w:tbl>
      <w:tblPr>
        <w:tblW w:w="929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567"/>
        <w:gridCol w:w="851"/>
        <w:gridCol w:w="629"/>
        <w:gridCol w:w="850"/>
        <w:gridCol w:w="567"/>
        <w:gridCol w:w="850"/>
        <w:gridCol w:w="567"/>
        <w:gridCol w:w="851"/>
        <w:gridCol w:w="567"/>
      </w:tblGrid>
      <w:tr w:rsidR="00F62727" w:rsidRPr="00632F94" w:rsidTr="00A9465F">
        <w:trPr>
          <w:trHeight w:val="990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разделов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</w:t>
            </w:r>
            <w:proofErr w:type="spellStart"/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</w:t>
            </w:r>
            <w:proofErr w:type="spellEnd"/>
          </w:p>
          <w:p w:rsidR="00F62727" w:rsidRPr="00632F94" w:rsidRDefault="00F62727" w:rsidP="00471D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ние</w:t>
            </w:r>
            <w:proofErr w:type="spellEnd"/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бюджета </w:t>
            </w:r>
            <w:r w:rsidR="001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471D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471D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1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471D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471D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1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471D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471D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1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471D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</w:tr>
      <w:tr w:rsidR="00F62727" w:rsidRPr="00632F94" w:rsidTr="00A9465F">
        <w:trPr>
          <w:trHeight w:val="61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727" w:rsidRPr="00632F94" w:rsidRDefault="00F62727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727" w:rsidRPr="00632F94" w:rsidRDefault="00F62727" w:rsidP="002B49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8A36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8A36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8A36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8A36A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тыс.  </w:t>
            </w:r>
            <w:proofErr w:type="spellStart"/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27" w:rsidRPr="00632F94" w:rsidRDefault="00F6272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0C0607" w:rsidRPr="00632F94" w:rsidTr="00DF03E3">
        <w:trPr>
          <w:trHeight w:val="45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07" w:rsidRPr="00632F94" w:rsidRDefault="000C0607" w:rsidP="002B49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07" w:rsidRPr="00632F94" w:rsidRDefault="000C060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2083,0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2491,3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1137,4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77,4</w:t>
            </w:r>
          </w:p>
        </w:tc>
      </w:tr>
      <w:tr w:rsidR="000C0607" w:rsidRPr="00632F94" w:rsidTr="00DF03E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07" w:rsidRPr="00632F94" w:rsidRDefault="000C0607" w:rsidP="002B49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07" w:rsidRPr="00632F94" w:rsidRDefault="000C060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12,1</w:t>
            </w:r>
          </w:p>
        </w:tc>
      </w:tr>
      <w:tr w:rsidR="000C0607" w:rsidRPr="00632F94" w:rsidTr="00DF03E3">
        <w:trPr>
          <w:trHeight w:val="6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07" w:rsidRPr="00632F94" w:rsidRDefault="000C0607" w:rsidP="002B49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07" w:rsidRPr="00632F94" w:rsidRDefault="000C060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</w:tr>
      <w:tr w:rsidR="000C0607" w:rsidRPr="00632F94" w:rsidTr="00DF03E3">
        <w:trPr>
          <w:trHeight w:val="25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07" w:rsidRPr="00632F94" w:rsidRDefault="000C0607" w:rsidP="002B49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07" w:rsidRPr="00632F94" w:rsidRDefault="000C060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0C0607" w:rsidRPr="00632F94" w:rsidTr="00DF03E3">
        <w:trPr>
          <w:trHeight w:val="4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07" w:rsidRPr="00632F94" w:rsidRDefault="000C0607" w:rsidP="002B49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07" w:rsidRPr="00632F94" w:rsidRDefault="000C060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0C0607" w:rsidRPr="00632F94" w:rsidTr="00DF03E3">
        <w:trPr>
          <w:trHeight w:val="26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07" w:rsidRPr="00632F94" w:rsidRDefault="000C0607" w:rsidP="002B49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07" w:rsidRPr="00632F94" w:rsidRDefault="000C060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0C0607" w:rsidRPr="00632F94" w:rsidTr="00DF03E3">
        <w:trPr>
          <w:trHeight w:val="26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07" w:rsidRPr="00632F94" w:rsidRDefault="000C0607" w:rsidP="002B49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07" w:rsidRPr="00632F94" w:rsidRDefault="000C060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</w:tr>
      <w:tr w:rsidR="000C0607" w:rsidRPr="00632F94" w:rsidTr="00DF03E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07" w:rsidRPr="00632F94" w:rsidRDefault="000C0607" w:rsidP="002B49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07" w:rsidRPr="00632F94" w:rsidRDefault="000C0607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F9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3619,0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3732,3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1468,6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607" w:rsidRPr="000C0607" w:rsidRDefault="000C0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6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BB02F9" w:rsidRPr="003A33C7" w:rsidRDefault="00BB02F9" w:rsidP="00A901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Приоритетным направлением расходов бюджета </w:t>
      </w:r>
      <w:proofErr w:type="spellStart"/>
      <w:r w:rsidR="002F172A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 являются </w:t>
      </w:r>
      <w:r w:rsidR="00F56702">
        <w:rPr>
          <w:rFonts w:ascii="Times New Roman" w:eastAsia="Times New Roman" w:hAnsi="Times New Roman" w:cs="Times New Roman"/>
          <w:sz w:val="24"/>
          <w:szCs w:val="24"/>
        </w:rPr>
        <w:t>расходы ра</w:t>
      </w:r>
      <w:r w:rsidR="000976C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56702">
        <w:rPr>
          <w:rFonts w:ascii="Times New Roman" w:eastAsia="Times New Roman" w:hAnsi="Times New Roman" w:cs="Times New Roman"/>
          <w:sz w:val="24"/>
          <w:szCs w:val="24"/>
        </w:rPr>
        <w:t>дела 01 «О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>бщегосударственные вопросы</w:t>
      </w:r>
      <w:r w:rsidR="00F5670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30796">
        <w:rPr>
          <w:rFonts w:ascii="Times New Roman" w:eastAsia="Times New Roman" w:hAnsi="Times New Roman" w:cs="Times New Roman"/>
          <w:sz w:val="24"/>
          <w:szCs w:val="24"/>
        </w:rPr>
        <w:t xml:space="preserve">, которые занимают </w:t>
      </w:r>
      <w:r w:rsidR="003014D8">
        <w:rPr>
          <w:rFonts w:ascii="Times New Roman" w:eastAsia="Times New Roman" w:hAnsi="Times New Roman" w:cs="Times New Roman"/>
          <w:sz w:val="24"/>
          <w:szCs w:val="24"/>
        </w:rPr>
        <w:t>66,7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>%</w:t>
      </w:r>
      <w:r w:rsidR="003A3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14D8">
        <w:rPr>
          <w:rFonts w:ascii="Times New Roman" w:eastAsia="Times New Roman" w:hAnsi="Times New Roman" w:cs="Times New Roman"/>
          <w:sz w:val="24"/>
          <w:szCs w:val="24"/>
        </w:rPr>
        <w:t>78,8</w:t>
      </w:r>
      <w:r w:rsidR="003A33C7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r w:rsidR="003014D8">
        <w:rPr>
          <w:rFonts w:ascii="Times New Roman" w:eastAsia="Times New Roman" w:hAnsi="Times New Roman" w:cs="Times New Roman"/>
          <w:sz w:val="24"/>
          <w:szCs w:val="24"/>
        </w:rPr>
        <w:t>77,4</w:t>
      </w:r>
      <w:r w:rsidR="003A33C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 в структуре расходов</w:t>
      </w:r>
      <w:r w:rsidR="003A33C7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3C7" w:rsidRPr="003A33C7">
        <w:rPr>
          <w:rFonts w:ascii="Times New Roman" w:eastAsia="Times New Roman" w:hAnsi="Times New Roman" w:cs="Times New Roman"/>
          <w:sz w:val="24"/>
          <w:szCs w:val="24"/>
        </w:rPr>
        <w:t xml:space="preserve">Второй по </w:t>
      </w:r>
      <w:r w:rsidR="007D3850">
        <w:rPr>
          <w:rFonts w:ascii="Times New Roman" w:eastAsia="Times New Roman" w:hAnsi="Times New Roman" w:cs="Times New Roman"/>
          <w:sz w:val="24"/>
          <w:szCs w:val="24"/>
        </w:rPr>
        <w:t xml:space="preserve">объему расходов </w:t>
      </w:r>
      <w:r w:rsidR="003A33C7" w:rsidRPr="003A33C7">
        <w:rPr>
          <w:rFonts w:ascii="Times New Roman" w:eastAsia="Times New Roman" w:hAnsi="Times New Roman" w:cs="Times New Roman"/>
          <w:sz w:val="24"/>
          <w:szCs w:val="24"/>
        </w:rPr>
        <w:t xml:space="preserve">раздел 03 «НАЦИОНАЛЬНАЯ БЕЗОПАСНОСТЬ И ПРАВООХРАНИТЕЛЬНАЯ ДЕЯТЕЛЬНОСТЬ» </w:t>
      </w:r>
      <w:r w:rsidR="00324DD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14D8">
        <w:rPr>
          <w:rFonts w:ascii="Times New Roman" w:eastAsia="Times New Roman" w:hAnsi="Times New Roman" w:cs="Times New Roman"/>
          <w:sz w:val="24"/>
          <w:szCs w:val="24"/>
        </w:rPr>
        <w:t>21,4</w:t>
      </w:r>
      <w:r w:rsidR="00324D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14D8">
        <w:rPr>
          <w:rFonts w:ascii="Times New Roman" w:eastAsia="Times New Roman" w:hAnsi="Times New Roman" w:cs="Times New Roman"/>
          <w:sz w:val="24"/>
          <w:szCs w:val="24"/>
        </w:rPr>
        <w:t>5,0</w:t>
      </w:r>
      <w:r w:rsidR="003A33C7" w:rsidRPr="003A33C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014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24DD1">
        <w:rPr>
          <w:rFonts w:ascii="Times New Roman" w:eastAsia="Times New Roman" w:hAnsi="Times New Roman" w:cs="Times New Roman"/>
          <w:sz w:val="24"/>
          <w:szCs w:val="24"/>
        </w:rPr>
        <w:t>,5%</w:t>
      </w:r>
      <w:r w:rsidR="003A33C7" w:rsidRPr="003A33C7">
        <w:rPr>
          <w:rFonts w:ascii="Times New Roman" w:eastAsia="Times New Roman" w:hAnsi="Times New Roman" w:cs="Times New Roman"/>
          <w:sz w:val="24"/>
          <w:szCs w:val="24"/>
        </w:rPr>
        <w:t xml:space="preserve">% соответственно. </w:t>
      </w:r>
    </w:p>
    <w:p w:rsidR="00BB02F9" w:rsidRPr="00281997" w:rsidRDefault="00BB02F9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Наименьший удельный вес в </w:t>
      </w:r>
      <w:r w:rsidR="003A33C7">
        <w:rPr>
          <w:rFonts w:ascii="Times New Roman" w:eastAsia="Times New Roman" w:hAnsi="Times New Roman" w:cs="Times New Roman"/>
          <w:sz w:val="24"/>
          <w:szCs w:val="24"/>
        </w:rPr>
        <w:t xml:space="preserve">проекте бюджета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занимают расходы по  разделу </w:t>
      </w:r>
      <w:r w:rsidR="00777BD8">
        <w:rPr>
          <w:rFonts w:ascii="Times New Roman" w:eastAsia="Times New Roman" w:hAnsi="Times New Roman" w:cs="Times New Roman"/>
          <w:sz w:val="24"/>
          <w:szCs w:val="24"/>
        </w:rPr>
        <w:t>04 «Национальная экономика»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, объем которых составляет </w:t>
      </w:r>
      <w:r w:rsidR="00777BD8">
        <w:rPr>
          <w:rFonts w:ascii="Times New Roman" w:eastAsia="Times New Roman" w:hAnsi="Times New Roman" w:cs="Times New Roman"/>
          <w:sz w:val="24"/>
          <w:szCs w:val="24"/>
        </w:rPr>
        <w:t>менее 1,0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%. Объем расходов по отраслям так называемого «социального блока» (культура, социальная политика) в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F5F62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7D3850">
        <w:rPr>
          <w:rFonts w:ascii="Times New Roman" w:eastAsia="Times New Roman" w:hAnsi="Times New Roman" w:cs="Times New Roman"/>
          <w:sz w:val="24"/>
          <w:szCs w:val="24"/>
        </w:rPr>
        <w:t xml:space="preserve">представлен </w:t>
      </w:r>
      <w:r w:rsidR="00F52B81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="007D3850">
        <w:rPr>
          <w:rFonts w:ascii="Times New Roman" w:eastAsia="Times New Roman" w:hAnsi="Times New Roman" w:cs="Times New Roman"/>
          <w:sz w:val="24"/>
          <w:szCs w:val="24"/>
        </w:rPr>
        <w:t>разделом 10 «</w:t>
      </w:r>
      <w:r w:rsidR="000202B0">
        <w:rPr>
          <w:rFonts w:ascii="Times New Roman" w:eastAsia="Times New Roman" w:hAnsi="Times New Roman" w:cs="Times New Roman"/>
          <w:sz w:val="24"/>
          <w:szCs w:val="24"/>
        </w:rPr>
        <w:t>Социальное обеспечение населения</w:t>
      </w:r>
      <w:r w:rsidR="007D3850">
        <w:rPr>
          <w:rFonts w:ascii="Times New Roman" w:eastAsia="Times New Roman" w:hAnsi="Times New Roman" w:cs="Times New Roman"/>
          <w:sz w:val="24"/>
          <w:szCs w:val="24"/>
        </w:rPr>
        <w:t xml:space="preserve">» и </w:t>
      </w:r>
      <w:r w:rsidR="003A33C7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446461">
        <w:rPr>
          <w:rFonts w:ascii="Times New Roman" w:eastAsia="Times New Roman" w:hAnsi="Times New Roman" w:cs="Times New Roman"/>
          <w:sz w:val="24"/>
          <w:szCs w:val="24"/>
        </w:rPr>
        <w:t>4,3</w:t>
      </w:r>
      <w:r w:rsidR="003A33C7">
        <w:rPr>
          <w:rFonts w:ascii="Times New Roman" w:eastAsia="Times New Roman" w:hAnsi="Times New Roman" w:cs="Times New Roman"/>
          <w:sz w:val="24"/>
          <w:szCs w:val="24"/>
        </w:rPr>
        <w:t>% .</w:t>
      </w:r>
    </w:p>
    <w:p w:rsidR="00B92758" w:rsidRPr="00281997" w:rsidRDefault="00B92758" w:rsidP="00B92758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расходов бюджета поселения за </w:t>
      </w:r>
      <w:r w:rsidR="001960A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DB58B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8199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1960A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DB58BF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="00707DD4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B92758" w:rsidRPr="00281997" w:rsidRDefault="00B92758" w:rsidP="00B927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402B9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>, тыс. рублей</w:t>
      </w:r>
    </w:p>
    <w:tbl>
      <w:tblPr>
        <w:tblStyle w:val="af8"/>
        <w:tblW w:w="9636" w:type="dxa"/>
        <w:tblLayout w:type="fixed"/>
        <w:tblLook w:val="04A0" w:firstRow="1" w:lastRow="0" w:firstColumn="1" w:lastColumn="0" w:noHBand="0" w:noVBand="1"/>
      </w:tblPr>
      <w:tblGrid>
        <w:gridCol w:w="2093"/>
        <w:gridCol w:w="447"/>
        <w:gridCol w:w="752"/>
        <w:gridCol w:w="744"/>
        <w:gridCol w:w="739"/>
        <w:gridCol w:w="820"/>
        <w:gridCol w:w="678"/>
        <w:gridCol w:w="688"/>
        <w:gridCol w:w="588"/>
        <w:gridCol w:w="670"/>
        <w:gridCol w:w="709"/>
        <w:gridCol w:w="708"/>
      </w:tblGrid>
      <w:tr w:rsidR="0062761F" w:rsidRPr="00194ADD" w:rsidTr="00A9465F">
        <w:tc>
          <w:tcPr>
            <w:tcW w:w="2093" w:type="dxa"/>
            <w:vMerge w:val="restart"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разделов</w:t>
            </w:r>
          </w:p>
        </w:tc>
        <w:tc>
          <w:tcPr>
            <w:tcW w:w="447" w:type="dxa"/>
            <w:vMerge w:val="restart"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</w:t>
            </w:r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дел</w:t>
            </w:r>
          </w:p>
        </w:tc>
        <w:tc>
          <w:tcPr>
            <w:tcW w:w="752" w:type="dxa"/>
            <w:vMerge w:val="restart"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Ожидаемое </w:t>
            </w: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испол</w:t>
            </w:r>
            <w:proofErr w:type="spellEnd"/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нение</w:t>
            </w:r>
            <w:proofErr w:type="spellEnd"/>
          </w:p>
          <w:p w:rsidR="0062761F" w:rsidRPr="009A6EB7" w:rsidRDefault="0062761F" w:rsidP="00DB58B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960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DB58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744" w:type="dxa"/>
            <w:vMerge w:val="restart"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</w:t>
            </w:r>
            <w:proofErr w:type="spellEnd"/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ноз</w:t>
            </w:r>
            <w:proofErr w:type="spellEnd"/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960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DB58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года</w:t>
            </w:r>
          </w:p>
        </w:tc>
        <w:tc>
          <w:tcPr>
            <w:tcW w:w="739" w:type="dxa"/>
            <w:vMerge w:val="restart"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</w:t>
            </w:r>
            <w:proofErr w:type="spellEnd"/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ноз</w:t>
            </w:r>
            <w:proofErr w:type="spellEnd"/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960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DB58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года</w:t>
            </w:r>
          </w:p>
        </w:tc>
        <w:tc>
          <w:tcPr>
            <w:tcW w:w="820" w:type="dxa"/>
            <w:vMerge w:val="restart"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</w:t>
            </w:r>
            <w:proofErr w:type="spellEnd"/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ноз</w:t>
            </w:r>
            <w:proofErr w:type="spellEnd"/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960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DB58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954" w:type="dxa"/>
            <w:gridSpan w:val="3"/>
          </w:tcPr>
          <w:p w:rsidR="0062761F" w:rsidRPr="009A6EB7" w:rsidRDefault="0062761F" w:rsidP="00EB0D4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Прирост (снижение) доходов, тыс. руб.</w:t>
            </w:r>
          </w:p>
        </w:tc>
        <w:tc>
          <w:tcPr>
            <w:tcW w:w="2087" w:type="dxa"/>
            <w:gridSpan w:val="3"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Темп роста доходов, %</w:t>
            </w:r>
          </w:p>
        </w:tc>
      </w:tr>
      <w:tr w:rsidR="0062761F" w:rsidRPr="00194ADD" w:rsidTr="00A9465F">
        <w:tc>
          <w:tcPr>
            <w:tcW w:w="2093" w:type="dxa"/>
            <w:vMerge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Merge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2087" w:type="dxa"/>
            <w:gridSpan w:val="3"/>
          </w:tcPr>
          <w:p w:rsidR="0062761F" w:rsidRPr="009A6EB7" w:rsidRDefault="0062761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E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предыдущему году</w:t>
            </w:r>
          </w:p>
        </w:tc>
      </w:tr>
      <w:tr w:rsidR="00DB58BF" w:rsidRPr="00194ADD" w:rsidTr="00A9465F">
        <w:tc>
          <w:tcPr>
            <w:tcW w:w="2093" w:type="dxa"/>
            <w:vMerge/>
          </w:tcPr>
          <w:p w:rsidR="00DB58BF" w:rsidRPr="009A6EB7" w:rsidRDefault="00DB58B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</w:tcPr>
          <w:p w:rsidR="00DB58BF" w:rsidRPr="009A6EB7" w:rsidRDefault="00DB58B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vMerge/>
          </w:tcPr>
          <w:p w:rsidR="00DB58BF" w:rsidRPr="009A6EB7" w:rsidRDefault="00DB58B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DB58BF" w:rsidRPr="009A6EB7" w:rsidRDefault="00DB58B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</w:tcPr>
          <w:p w:rsidR="00DB58BF" w:rsidRPr="009A6EB7" w:rsidRDefault="00DB58B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Merge/>
          </w:tcPr>
          <w:p w:rsidR="00DB58BF" w:rsidRPr="009A6EB7" w:rsidRDefault="00DB58BF" w:rsidP="002B494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</w:tcPr>
          <w:p w:rsidR="00DB58BF" w:rsidRPr="009A6EB7" w:rsidRDefault="00DB58BF" w:rsidP="00DB58B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8" w:type="dxa"/>
          </w:tcPr>
          <w:p w:rsidR="00DB58BF" w:rsidRPr="009A6EB7" w:rsidRDefault="00DB58BF" w:rsidP="00DB58B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88" w:type="dxa"/>
          </w:tcPr>
          <w:p w:rsidR="00DB58BF" w:rsidRPr="009A6EB7" w:rsidRDefault="00DB58BF" w:rsidP="00DB58B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70" w:type="dxa"/>
          </w:tcPr>
          <w:p w:rsidR="00DB58BF" w:rsidRPr="009A6EB7" w:rsidRDefault="00DB58BF" w:rsidP="003E3D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DB58BF" w:rsidRPr="009A6EB7" w:rsidRDefault="00DB58BF" w:rsidP="003E3D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DB58BF" w:rsidRPr="009A6EB7" w:rsidRDefault="00DB58BF" w:rsidP="003E3D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23328D" w:rsidRPr="00194ADD" w:rsidTr="00A9465F">
        <w:tc>
          <w:tcPr>
            <w:tcW w:w="2093" w:type="dxa"/>
          </w:tcPr>
          <w:p w:rsidR="0023328D" w:rsidRPr="00EE7144" w:rsidRDefault="0023328D" w:rsidP="005D0A7B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7" w:type="dxa"/>
          </w:tcPr>
          <w:p w:rsidR="0023328D" w:rsidRPr="00B33007" w:rsidRDefault="0023328D" w:rsidP="002B494D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2491,3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1180,0</w:t>
            </w:r>
          </w:p>
        </w:tc>
        <w:tc>
          <w:tcPr>
            <w:tcW w:w="820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1137,4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408,3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-1311,3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-42,6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96,4</w:t>
            </w:r>
          </w:p>
        </w:tc>
      </w:tr>
      <w:tr w:rsidR="0023328D" w:rsidRPr="00194ADD" w:rsidTr="00A9465F">
        <w:tc>
          <w:tcPr>
            <w:tcW w:w="2093" w:type="dxa"/>
          </w:tcPr>
          <w:p w:rsidR="0023328D" w:rsidRPr="00EE7144" w:rsidRDefault="0023328D" w:rsidP="002B494D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47" w:type="dxa"/>
          </w:tcPr>
          <w:p w:rsidR="0023328D" w:rsidRPr="00B33007" w:rsidRDefault="0023328D" w:rsidP="002B494D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820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103,6</w:t>
            </w:r>
          </w:p>
        </w:tc>
      </w:tr>
      <w:tr w:rsidR="0023328D" w:rsidRPr="00194ADD" w:rsidTr="00A9465F">
        <w:tc>
          <w:tcPr>
            <w:tcW w:w="2093" w:type="dxa"/>
          </w:tcPr>
          <w:p w:rsidR="0023328D" w:rsidRPr="00EE7144" w:rsidRDefault="0023328D" w:rsidP="005D0A7B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7" w:type="dxa"/>
          </w:tcPr>
          <w:p w:rsidR="0023328D" w:rsidRPr="00B33007" w:rsidRDefault="0023328D" w:rsidP="002B494D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1065,7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797,9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820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-267,8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-722,5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-23,8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68,4</w:t>
            </w:r>
          </w:p>
        </w:tc>
      </w:tr>
      <w:tr w:rsidR="0023328D" w:rsidRPr="00194ADD" w:rsidTr="00A9465F">
        <w:tc>
          <w:tcPr>
            <w:tcW w:w="2093" w:type="dxa"/>
          </w:tcPr>
          <w:p w:rsidR="0023328D" w:rsidRPr="00EE7144" w:rsidRDefault="0023328D" w:rsidP="000F5163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47" w:type="dxa"/>
          </w:tcPr>
          <w:p w:rsidR="0023328D" w:rsidRPr="00B33007" w:rsidRDefault="0023328D" w:rsidP="002B494D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20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3328D" w:rsidRPr="00194ADD" w:rsidTr="00A9465F">
        <w:tc>
          <w:tcPr>
            <w:tcW w:w="2093" w:type="dxa"/>
          </w:tcPr>
          <w:p w:rsidR="0023328D" w:rsidRPr="00EE7144" w:rsidRDefault="0023328D" w:rsidP="000F5163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447" w:type="dxa"/>
          </w:tcPr>
          <w:p w:rsidR="0023328D" w:rsidRPr="00B33007" w:rsidRDefault="0023328D" w:rsidP="002B494D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133,2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820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-9,2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-102,8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-0,9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</w:t>
            </w:r>
          </w:p>
        </w:tc>
      </w:tr>
      <w:tr w:rsidR="0023328D" w:rsidRPr="00194ADD" w:rsidTr="00A9465F">
        <w:tc>
          <w:tcPr>
            <w:tcW w:w="2093" w:type="dxa"/>
          </w:tcPr>
          <w:p w:rsidR="0023328D" w:rsidRPr="00EE7144" w:rsidRDefault="0023328D" w:rsidP="00883CD2">
            <w:pPr>
              <w:ind w:right="-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47" w:type="dxa"/>
          </w:tcPr>
          <w:p w:rsidR="0023328D" w:rsidRPr="00B33007" w:rsidRDefault="0023328D" w:rsidP="002B494D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161,8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20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-36,4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-145,6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3328D" w:rsidRPr="00194ADD" w:rsidTr="00A9465F">
        <w:tc>
          <w:tcPr>
            <w:tcW w:w="2093" w:type="dxa"/>
          </w:tcPr>
          <w:p w:rsidR="0023328D" w:rsidRPr="00EE7144" w:rsidRDefault="0023328D" w:rsidP="002B494D">
            <w:pPr>
              <w:ind w:right="-7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УСЛОВНО УТВЕРЖДАЕМЫЕ РАСХОДЫ</w:t>
            </w:r>
          </w:p>
        </w:tc>
        <w:tc>
          <w:tcPr>
            <w:tcW w:w="447" w:type="dxa"/>
          </w:tcPr>
          <w:p w:rsidR="0023328D" w:rsidRPr="00B33007" w:rsidRDefault="0023328D" w:rsidP="000202B0">
            <w:pPr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20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194,6</w:t>
            </w:r>
          </w:p>
        </w:tc>
      </w:tr>
      <w:tr w:rsidR="0023328D" w:rsidRPr="00194ADD" w:rsidTr="00A9465F">
        <w:tc>
          <w:tcPr>
            <w:tcW w:w="2093" w:type="dxa"/>
            <w:shd w:val="clear" w:color="auto" w:fill="FFFFFF" w:themeFill="background1"/>
          </w:tcPr>
          <w:p w:rsidR="0023328D" w:rsidRPr="00EE7144" w:rsidRDefault="0023328D" w:rsidP="002B494D">
            <w:pPr>
              <w:ind w:right="-7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71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447" w:type="dxa"/>
            <w:shd w:val="clear" w:color="auto" w:fill="FFFFFF" w:themeFill="background1"/>
          </w:tcPr>
          <w:p w:rsidR="0023328D" w:rsidRPr="00B33007" w:rsidRDefault="0023328D" w:rsidP="002B494D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3619,0</w:t>
            </w:r>
          </w:p>
        </w:tc>
        <w:tc>
          <w:tcPr>
            <w:tcW w:w="744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3732,3</w:t>
            </w:r>
          </w:p>
        </w:tc>
        <w:tc>
          <w:tcPr>
            <w:tcW w:w="739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1498,4</w:t>
            </w:r>
          </w:p>
        </w:tc>
        <w:tc>
          <w:tcPr>
            <w:tcW w:w="820" w:type="dxa"/>
            <w:shd w:val="clear" w:color="auto" w:fill="C6D9F1" w:themeFill="text2" w:themeFillTint="33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1468,6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-2233,9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-29,8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3328D" w:rsidRPr="0023328D" w:rsidRDefault="0023328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328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98,0</w:t>
            </w:r>
          </w:p>
        </w:tc>
      </w:tr>
    </w:tbl>
    <w:p w:rsidR="00742217" w:rsidRPr="00C94F5C" w:rsidRDefault="00742217" w:rsidP="00A901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F5C">
        <w:rPr>
          <w:rFonts w:ascii="Times New Roman" w:eastAsia="Times New Roman" w:hAnsi="Times New Roman" w:cs="Times New Roman"/>
          <w:sz w:val="24"/>
          <w:szCs w:val="24"/>
        </w:rPr>
        <w:t>По отношению к объему расходов, ожидаемому в</w:t>
      </w:r>
      <w:r w:rsidRPr="00C94F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960A6">
        <w:rPr>
          <w:rFonts w:ascii="Times New Roman" w:eastAsia="Times New Roman" w:hAnsi="Times New Roman" w:cs="Times New Roman"/>
          <w:spacing w:val="-2"/>
          <w:sz w:val="24"/>
          <w:szCs w:val="24"/>
        </w:rPr>
        <w:t>202</w:t>
      </w:r>
      <w:r w:rsidR="00BF5F62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год</w:t>
      </w:r>
      <w:r w:rsidRPr="00C94F5C">
        <w:rPr>
          <w:rFonts w:ascii="Times New Roman" w:eastAsia="Times New Roman" w:hAnsi="Times New Roman" w:cs="Times New Roman"/>
          <w:spacing w:val="-2"/>
          <w:sz w:val="24"/>
          <w:szCs w:val="24"/>
        </w:rPr>
        <w:t>у расходы, определенные</w:t>
      </w:r>
      <w:r w:rsidRPr="00C94F5C">
        <w:rPr>
          <w:rFonts w:ascii="Times New Roman" w:eastAsia="Times New Roman" w:hAnsi="Times New Roman" w:cs="Times New Roman"/>
          <w:sz w:val="24"/>
          <w:szCs w:val="24"/>
        </w:rPr>
        <w:t xml:space="preserve"> в проекте решения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F5F6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94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F62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234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F5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F5F62">
        <w:rPr>
          <w:rFonts w:ascii="Times New Roman" w:eastAsia="Times New Roman" w:hAnsi="Times New Roman" w:cs="Times New Roman"/>
          <w:sz w:val="24"/>
          <w:szCs w:val="24"/>
        </w:rPr>
        <w:t>408,3</w:t>
      </w:r>
      <w:r w:rsidR="00234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F5C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BF5F62">
        <w:rPr>
          <w:rFonts w:ascii="Times New Roman" w:eastAsia="Times New Roman" w:hAnsi="Times New Roman" w:cs="Times New Roman"/>
          <w:sz w:val="24"/>
          <w:szCs w:val="24"/>
        </w:rPr>
        <w:t>19,6</w:t>
      </w:r>
      <w:r w:rsidRPr="00C94F5C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3525FD" w:rsidRPr="00281997" w:rsidRDefault="007D2257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99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01 «Общегосударственные вопросы»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FD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3525FD" w:rsidRPr="003525FD" w:rsidRDefault="001960A6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3525FD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2491,3</w:t>
      </w:r>
      <w:r w:rsidR="003525FD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3B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25FD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408,3</w:t>
      </w:r>
      <w:r w:rsidR="00A73E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25FD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19,6</w:t>
      </w:r>
      <w:r w:rsidR="003525FD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3525FD" w:rsidRPr="003525FD" w:rsidRDefault="001960A6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3525FD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234DB3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180,0</w:t>
      </w:r>
      <w:r w:rsidR="003B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25FD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3B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25FD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234DB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1311,3</w:t>
      </w:r>
      <w:r w:rsidR="003525FD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234DB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52,6</w:t>
      </w:r>
      <w:r w:rsidR="003525FD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3525FD" w:rsidRPr="003525FD" w:rsidRDefault="001960A6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F5F62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525FD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F5F62">
        <w:rPr>
          <w:rFonts w:ascii="Times New Roman" w:eastAsia="Times New Roman" w:hAnsi="Times New Roman" w:cs="Times New Roman"/>
          <w:sz w:val="24"/>
          <w:szCs w:val="24"/>
        </w:rPr>
        <w:t>1137,4</w:t>
      </w:r>
      <w:r w:rsidR="00A73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FD" w:rsidRPr="003525FD">
        <w:rPr>
          <w:rFonts w:ascii="Times New Roman" w:eastAsia="Times New Roman" w:hAnsi="Times New Roman" w:cs="Times New Roman"/>
          <w:sz w:val="24"/>
          <w:szCs w:val="24"/>
        </w:rPr>
        <w:t xml:space="preserve">тыс. руб. </w:t>
      </w:r>
      <w:r w:rsidR="003525FD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-42,6</w:t>
      </w:r>
      <w:r w:rsidR="003B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25FD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-3,6</w:t>
      </w:r>
      <w:r w:rsidR="003525FD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3525FD" w:rsidRPr="003525FD" w:rsidRDefault="00281997" w:rsidP="00A901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525FD"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="003525FD"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BF5F62">
        <w:rPr>
          <w:rFonts w:ascii="Times New Roman" w:eastAsia="Times New Roman" w:hAnsi="Times New Roman" w:cs="Times New Roman"/>
          <w:sz w:val="24"/>
          <w:szCs w:val="24"/>
        </w:rPr>
        <w:t>66,7</w:t>
      </w:r>
      <w:r w:rsidR="003525FD"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7D2257" w:rsidRPr="000B1907" w:rsidRDefault="007D2257" w:rsidP="00A901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Расходы данного раздела предусмотрены </w:t>
      </w:r>
      <w:proofErr w:type="gramStart"/>
      <w:r w:rsidRPr="000B190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B19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257" w:rsidRPr="000B1907" w:rsidRDefault="007D2257" w:rsidP="00A901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5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601" w:rsidRPr="00185601">
        <w:rPr>
          <w:rFonts w:ascii="Times New Roman" w:eastAsia="Times New Roman" w:hAnsi="Times New Roman" w:cs="Times New Roman"/>
          <w:b/>
          <w:sz w:val="24"/>
          <w:szCs w:val="24"/>
        </w:rPr>
        <w:t>подраздел 0104</w:t>
      </w:r>
      <w:r w:rsidR="0018560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85601" w:rsidRPr="00185601">
        <w:rPr>
          <w:rFonts w:ascii="Times New Roman" w:eastAsia="Times New Roman" w:hAnsi="Times New Roman" w:cs="Times New Roman"/>
          <w:sz w:val="24"/>
          <w:szCs w:val="24"/>
        </w:rPr>
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18560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деятельности сельской администрации в сумме </w:t>
      </w:r>
      <w:r w:rsidR="00BF5F62">
        <w:rPr>
          <w:rFonts w:ascii="Times New Roman" w:eastAsia="Times New Roman" w:hAnsi="Times New Roman" w:cs="Times New Roman"/>
          <w:sz w:val="24"/>
          <w:szCs w:val="24"/>
        </w:rPr>
        <w:t>2300,8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7D2257" w:rsidRPr="000B1907" w:rsidRDefault="007D2257" w:rsidP="00A901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85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601" w:rsidRPr="00185601">
        <w:rPr>
          <w:rFonts w:ascii="Times New Roman" w:eastAsia="Times New Roman" w:hAnsi="Times New Roman" w:cs="Times New Roman"/>
          <w:b/>
          <w:sz w:val="24"/>
          <w:szCs w:val="24"/>
        </w:rPr>
        <w:t>подраздел 0106</w:t>
      </w:r>
      <w:r w:rsidR="0018560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85601" w:rsidRPr="00185601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финансовых, налоговых и таможенных  органов и органов финансового (финансово-бюджетного) надзора</w:t>
      </w:r>
      <w:r w:rsidR="0018560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 в сумме</w:t>
      </w:r>
      <w:r w:rsidR="00BF5F62">
        <w:rPr>
          <w:rFonts w:ascii="Times New Roman" w:eastAsia="Times New Roman" w:hAnsi="Times New Roman" w:cs="Times New Roman"/>
          <w:sz w:val="24"/>
          <w:szCs w:val="24"/>
        </w:rPr>
        <w:t xml:space="preserve"> 2,0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7D2257" w:rsidRDefault="007D2257" w:rsidP="00A901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5601" w:rsidRPr="00185601">
        <w:rPr>
          <w:rFonts w:ascii="Times New Roman" w:eastAsia="Times New Roman" w:hAnsi="Times New Roman" w:cs="Times New Roman"/>
          <w:b/>
          <w:sz w:val="24"/>
          <w:szCs w:val="24"/>
        </w:rPr>
        <w:t>подраздел 0107</w:t>
      </w:r>
      <w:r w:rsidR="00185601">
        <w:rPr>
          <w:rFonts w:ascii="Times New Roman" w:eastAsia="Times New Roman" w:hAnsi="Times New Roman" w:cs="Times New Roman"/>
          <w:sz w:val="24"/>
          <w:szCs w:val="24"/>
        </w:rPr>
        <w:t xml:space="preserve"> «Проведение обеспечения выборов и референдумов» -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проведения выборов, референдумов в сумме </w:t>
      </w:r>
      <w:r w:rsidR="00BF5F62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281997" w:rsidRPr="000B1907" w:rsidRDefault="00281997" w:rsidP="00A901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5601" w:rsidRPr="00185601">
        <w:rPr>
          <w:rFonts w:ascii="Times New Roman" w:eastAsia="Times New Roman" w:hAnsi="Times New Roman" w:cs="Times New Roman"/>
          <w:b/>
          <w:sz w:val="24"/>
          <w:szCs w:val="24"/>
        </w:rPr>
        <w:t>0111 «Резервные фонды»</w:t>
      </w:r>
      <w:r w:rsidR="0018560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резервны</w:t>
      </w:r>
      <w:r w:rsidR="00185601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 w:rsidR="00185601">
        <w:rPr>
          <w:rFonts w:ascii="Times New Roman" w:eastAsia="Times New Roman" w:hAnsi="Times New Roman" w:cs="Times New Roman"/>
          <w:sz w:val="24"/>
          <w:szCs w:val="24"/>
        </w:rPr>
        <w:t xml:space="preserve"> местной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BF5F62">
        <w:rPr>
          <w:rFonts w:ascii="Times New Roman" w:eastAsia="Times New Roman" w:hAnsi="Times New Roman" w:cs="Times New Roman"/>
          <w:sz w:val="24"/>
          <w:szCs w:val="24"/>
        </w:rPr>
        <w:t>5,0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7D2257" w:rsidRDefault="007D2257" w:rsidP="00A901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5601" w:rsidRPr="00185601">
        <w:rPr>
          <w:rFonts w:ascii="Times New Roman" w:eastAsia="Times New Roman" w:hAnsi="Times New Roman" w:cs="Times New Roman"/>
          <w:b/>
          <w:sz w:val="24"/>
          <w:szCs w:val="24"/>
        </w:rPr>
        <w:t>подраздел 0113</w:t>
      </w:r>
      <w:r w:rsidR="0018560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85601" w:rsidRPr="00185601">
        <w:rPr>
          <w:rFonts w:ascii="Times New Roman" w:eastAsia="Times New Roman" w:hAnsi="Times New Roman" w:cs="Times New Roman"/>
          <w:sz w:val="24"/>
          <w:szCs w:val="24"/>
        </w:rPr>
        <w:t>Другие общегосударственные вопросы</w:t>
      </w:r>
      <w:r w:rsidR="00185601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другие общегосударственные вопросы в сумме </w:t>
      </w:r>
      <w:r w:rsidR="00BF5F62">
        <w:rPr>
          <w:rFonts w:ascii="Times New Roman" w:eastAsia="Times New Roman" w:hAnsi="Times New Roman" w:cs="Times New Roman"/>
          <w:sz w:val="24"/>
          <w:szCs w:val="24"/>
        </w:rPr>
        <w:t>183,5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B41A68" w:rsidRPr="00281997" w:rsidRDefault="007D2257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0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02 «Национальная оборона»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A68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B41A68" w:rsidRPr="003525FD" w:rsidRDefault="001960A6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B41A6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156,3</w:t>
      </w:r>
      <w:r w:rsidR="009F17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41A6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9533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41A6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18,3</w:t>
      </w:r>
      <w:r w:rsidR="009F17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41A68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13,3</w:t>
      </w:r>
      <w:r w:rsidR="00B41A6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B41A68" w:rsidRPr="003525FD" w:rsidRDefault="001960A6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B41A6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171,4</w:t>
      </w:r>
      <w:r w:rsidR="00B41A68" w:rsidRPr="00352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A6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9533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41A6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15,1</w:t>
      </w:r>
      <w:r w:rsidR="00234D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41A68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9,7</w:t>
      </w:r>
      <w:r w:rsidR="00B41A6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B41A68" w:rsidRPr="003525FD" w:rsidRDefault="001960A6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F5F62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41A68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F5F62">
        <w:rPr>
          <w:rFonts w:ascii="Times New Roman" w:eastAsia="Times New Roman" w:hAnsi="Times New Roman" w:cs="Times New Roman"/>
          <w:sz w:val="24"/>
          <w:szCs w:val="24"/>
        </w:rPr>
        <w:t>177,6</w:t>
      </w:r>
      <w:r w:rsidR="00B41A68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  <w:r w:rsidR="00B41A6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6,2</w:t>
      </w:r>
      <w:r w:rsidR="00B41A68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3,6</w:t>
      </w:r>
      <w:r w:rsidR="00B41A68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B41A68" w:rsidRPr="003525FD" w:rsidRDefault="00B41A68" w:rsidP="00A901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BF5F62">
        <w:rPr>
          <w:rFonts w:ascii="Times New Roman" w:eastAsia="Times New Roman" w:hAnsi="Times New Roman" w:cs="Times New Roman"/>
          <w:sz w:val="24"/>
          <w:szCs w:val="24"/>
        </w:rPr>
        <w:t>4,2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7D2257" w:rsidRPr="00FD6543" w:rsidRDefault="007D2257" w:rsidP="00A901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Расходы данного раздела предусмотрены на осуществление первичного воинского учета на территориях, где отсутствуют военные комиссариаты</w:t>
      </w:r>
      <w:r w:rsidR="00FD6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543" w:rsidRPr="00FD6543">
        <w:rPr>
          <w:rFonts w:ascii="Times New Roman" w:eastAsia="Times New Roman" w:hAnsi="Times New Roman" w:cs="Times New Roman"/>
          <w:sz w:val="24"/>
          <w:szCs w:val="24"/>
        </w:rPr>
        <w:t>по подразделу 0203 «Мобилизационная и вневойсковая подготовка».</w:t>
      </w:r>
    </w:p>
    <w:p w:rsidR="00710C46" w:rsidRPr="00281997" w:rsidRDefault="007D2257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07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03 «Национальная безопасность и правоохранительная деятельность»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C46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710C46" w:rsidRPr="003525FD" w:rsidRDefault="001960A6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710C46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797,9</w:t>
      </w:r>
      <w:r w:rsidR="00710C46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AA72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0C46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021ED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267,8</w:t>
      </w:r>
      <w:r w:rsidR="00710C46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021ED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25,1</w:t>
      </w:r>
      <w:r w:rsidR="00710C46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710C46" w:rsidRPr="003525FD" w:rsidRDefault="001960A6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710C46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75,4</w:t>
      </w:r>
      <w:r w:rsidR="000710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0C46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AA72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0C46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021ED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722,5</w:t>
      </w:r>
      <w:r w:rsidR="00021E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0C46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021ED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90,6</w:t>
      </w:r>
      <w:r w:rsidR="00710C46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710C46" w:rsidRPr="003525FD" w:rsidRDefault="001960A6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F5F62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10C46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F5F62">
        <w:rPr>
          <w:rFonts w:ascii="Times New Roman" w:eastAsia="Times New Roman" w:hAnsi="Times New Roman" w:cs="Times New Roman"/>
          <w:sz w:val="24"/>
          <w:szCs w:val="24"/>
        </w:rPr>
        <w:t>51,6</w:t>
      </w:r>
      <w:r w:rsidR="003B4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C46" w:rsidRPr="003525FD">
        <w:rPr>
          <w:rFonts w:ascii="Times New Roman" w:eastAsia="Times New Roman" w:hAnsi="Times New Roman" w:cs="Times New Roman"/>
          <w:sz w:val="24"/>
          <w:szCs w:val="24"/>
        </w:rPr>
        <w:t xml:space="preserve">тыс. руб. </w:t>
      </w:r>
      <w:r w:rsidR="00710C46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021ED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23,8</w:t>
      </w:r>
      <w:r w:rsidR="00710C46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</w:t>
      </w:r>
      <w:r w:rsidR="00021E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F5F62">
        <w:rPr>
          <w:rFonts w:ascii="Times New Roman" w:eastAsia="Calibri" w:hAnsi="Times New Roman" w:cs="Times New Roman"/>
          <w:sz w:val="24"/>
          <w:szCs w:val="24"/>
          <w:lang w:eastAsia="en-US"/>
        </w:rPr>
        <w:t>31,6</w:t>
      </w:r>
      <w:r w:rsidR="00710C46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710C46" w:rsidRPr="003525FD" w:rsidRDefault="00710C46" w:rsidP="00A901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BF5F62">
        <w:rPr>
          <w:rFonts w:ascii="Times New Roman" w:eastAsia="Times New Roman" w:hAnsi="Times New Roman" w:cs="Times New Roman"/>
          <w:sz w:val="24"/>
          <w:szCs w:val="24"/>
        </w:rPr>
        <w:t>21,4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7D2257" w:rsidRPr="000B1907" w:rsidRDefault="007D2257" w:rsidP="00A901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Расходы данного раздела предусмотрены на осуществление противопожарной безопасности.</w:t>
      </w:r>
    </w:p>
    <w:p w:rsidR="004D25C3" w:rsidRPr="00281997" w:rsidRDefault="007D2257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190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Расходы по разделу 04 «Национальная экономика»</w:t>
      </w: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5C3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4D25C3" w:rsidRPr="003525FD" w:rsidRDefault="001960A6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ED03AD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4D25C3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3B418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C4206F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 w:rsidR="004D25C3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3B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25C3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CA0718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021EDF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 w:rsidR="004D25C3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021EDF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4D25C3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4D25C3" w:rsidRPr="003525FD" w:rsidRDefault="001960A6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ED03AD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4D25C3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CA0718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4D25C3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 w:rsidR="004D25C3" w:rsidRPr="00352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5C3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3B4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25C3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CA0718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3B4185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 w:rsidR="004D25C3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24294F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4D25C3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4D25C3" w:rsidRPr="003525FD" w:rsidRDefault="001960A6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D03AD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D25C3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A071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29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25C3">
        <w:rPr>
          <w:rFonts w:ascii="Times New Roman" w:eastAsia="Times New Roman" w:hAnsi="Times New Roman" w:cs="Times New Roman"/>
          <w:sz w:val="24"/>
          <w:szCs w:val="24"/>
        </w:rPr>
        <w:t>0</w:t>
      </w:r>
      <w:r w:rsidR="004D25C3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  <w:r w:rsidR="004D25C3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7301B8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4D25C3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,0 тыс. рублей, или </w:t>
      </w:r>
      <w:r w:rsidR="00330B2D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4D25C3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 w:rsidR="004D25C3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4D25C3" w:rsidRPr="003525FD" w:rsidRDefault="004D25C3" w:rsidP="00A901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>
        <w:rPr>
          <w:rFonts w:ascii="Times New Roman" w:eastAsia="Times New Roman" w:hAnsi="Times New Roman" w:cs="Times New Roman"/>
          <w:sz w:val="24"/>
          <w:szCs w:val="24"/>
        </w:rPr>
        <w:t>0,</w:t>
      </w:r>
      <w:r w:rsidR="00021EDF">
        <w:rPr>
          <w:rFonts w:ascii="Times New Roman" w:eastAsia="Times New Roman" w:hAnsi="Times New Roman" w:cs="Times New Roman"/>
          <w:sz w:val="24"/>
          <w:szCs w:val="24"/>
        </w:rPr>
        <w:t>0</w:t>
      </w:r>
      <w:r w:rsidR="00C4206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7D2257" w:rsidRPr="000B1907" w:rsidRDefault="007D2257" w:rsidP="00A901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07">
        <w:rPr>
          <w:rFonts w:ascii="Times New Roman" w:eastAsia="Times New Roman" w:hAnsi="Times New Roman" w:cs="Times New Roman"/>
          <w:sz w:val="24"/>
          <w:szCs w:val="24"/>
        </w:rPr>
        <w:t xml:space="preserve"> Данные расходы запланированы по подразделу 04 12 «Другие вопросы в области национальной экономики» и предусмотрены на  мероприятия по землеустройству и землепользованию. </w:t>
      </w:r>
    </w:p>
    <w:p w:rsidR="0064467B" w:rsidRPr="00281997" w:rsidRDefault="007D2257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2812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Расходы по разделу 05 «Жилищно-коммунальное хозяйство»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67B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64467B" w:rsidRPr="003525FD" w:rsidRDefault="001960A6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ED03AD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64467B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ED03AD">
        <w:rPr>
          <w:rFonts w:ascii="Times New Roman" w:eastAsia="Calibri" w:hAnsi="Times New Roman" w:cs="Times New Roman"/>
          <w:sz w:val="24"/>
          <w:szCs w:val="24"/>
          <w:lang w:eastAsia="en-US"/>
        </w:rPr>
        <w:t>124,0</w:t>
      </w:r>
      <w:r w:rsidR="0064467B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9A1F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4467B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240BA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ED03AD">
        <w:rPr>
          <w:rFonts w:ascii="Times New Roman" w:eastAsia="Calibri" w:hAnsi="Times New Roman" w:cs="Times New Roman"/>
          <w:sz w:val="24"/>
          <w:szCs w:val="24"/>
          <w:lang w:eastAsia="en-US"/>
        </w:rPr>
        <w:t>9,2</w:t>
      </w:r>
      <w:r w:rsidR="0064467B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240BA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ED03AD">
        <w:rPr>
          <w:rFonts w:ascii="Times New Roman" w:eastAsia="Calibri" w:hAnsi="Times New Roman" w:cs="Times New Roman"/>
          <w:sz w:val="24"/>
          <w:szCs w:val="24"/>
          <w:lang w:eastAsia="en-US"/>
        </w:rPr>
        <w:t>6,9</w:t>
      </w:r>
      <w:r w:rsidR="0064467B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64467B" w:rsidRPr="003525FD" w:rsidRDefault="001960A6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ED03AD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64467B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ED03AD">
        <w:rPr>
          <w:rFonts w:ascii="Times New Roman" w:eastAsia="Calibri" w:hAnsi="Times New Roman" w:cs="Times New Roman"/>
          <w:sz w:val="24"/>
          <w:szCs w:val="24"/>
          <w:lang w:eastAsia="en-US"/>
        </w:rPr>
        <w:t>21,2</w:t>
      </w:r>
      <w:r w:rsidR="008F15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4467B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9A1F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4467B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ED03AD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240B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D0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102,8 </w:t>
      </w:r>
      <w:r w:rsidR="0064467B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240BA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ED03AD">
        <w:rPr>
          <w:rFonts w:ascii="Times New Roman" w:eastAsia="Calibri" w:hAnsi="Times New Roman" w:cs="Times New Roman"/>
          <w:sz w:val="24"/>
          <w:szCs w:val="24"/>
          <w:lang w:eastAsia="en-US"/>
        </w:rPr>
        <w:t>82,9</w:t>
      </w:r>
      <w:r w:rsidR="0064467B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64467B" w:rsidRPr="003525FD" w:rsidRDefault="001960A6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D03AD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4467B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D03AD">
        <w:rPr>
          <w:rFonts w:ascii="Times New Roman" w:eastAsia="Times New Roman" w:hAnsi="Times New Roman" w:cs="Times New Roman"/>
          <w:sz w:val="24"/>
          <w:szCs w:val="24"/>
        </w:rPr>
        <w:t>20,3</w:t>
      </w:r>
      <w:r w:rsidR="0064467B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  <w:r w:rsidR="0064467B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ED03AD">
        <w:rPr>
          <w:rFonts w:ascii="Times New Roman" w:eastAsia="Calibri" w:hAnsi="Times New Roman" w:cs="Times New Roman"/>
          <w:sz w:val="24"/>
          <w:szCs w:val="24"/>
          <w:lang w:eastAsia="en-US"/>
        </w:rPr>
        <w:t>-0,9</w:t>
      </w:r>
      <w:r w:rsidR="0064467B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ED03AD">
        <w:rPr>
          <w:rFonts w:ascii="Times New Roman" w:eastAsia="Calibri" w:hAnsi="Times New Roman" w:cs="Times New Roman"/>
          <w:sz w:val="24"/>
          <w:szCs w:val="24"/>
          <w:lang w:eastAsia="en-US"/>
        </w:rPr>
        <w:t>-4,2</w:t>
      </w:r>
      <w:r w:rsidR="0064467B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64467B" w:rsidRPr="003525FD" w:rsidRDefault="0064467B" w:rsidP="00A901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 </w:t>
      </w:r>
      <w:r w:rsidR="00240BAC">
        <w:rPr>
          <w:rFonts w:ascii="Times New Roman" w:eastAsia="Times New Roman" w:hAnsi="Times New Roman" w:cs="Times New Roman"/>
          <w:sz w:val="24"/>
          <w:szCs w:val="24"/>
        </w:rPr>
        <w:t>3,</w:t>
      </w:r>
      <w:r w:rsidR="003E47D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7D2257" w:rsidRPr="003F2812" w:rsidRDefault="007D2257" w:rsidP="00A901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  Данные расходы запланированы по подразделу 05 03 «Благоустройство» и предусмотрены </w:t>
      </w:r>
      <w:proofErr w:type="gramStart"/>
      <w:r w:rsidRPr="003F281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F28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257" w:rsidRPr="003F2812" w:rsidRDefault="007D2257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>- организацию и обеспечение освещения улиц</w:t>
      </w:r>
      <w:r w:rsidR="008F1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7DA">
        <w:rPr>
          <w:rFonts w:ascii="Times New Roman" w:eastAsia="Times New Roman" w:hAnsi="Times New Roman" w:cs="Times New Roman"/>
          <w:sz w:val="24"/>
          <w:szCs w:val="24"/>
        </w:rPr>
        <w:t>124,0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7D2257" w:rsidRPr="003F2812" w:rsidRDefault="007D2257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>- организацию и содержание мест захоронения</w:t>
      </w:r>
      <w:r w:rsidR="00D9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7DA">
        <w:rPr>
          <w:rFonts w:ascii="Times New Roman" w:eastAsia="Times New Roman" w:hAnsi="Times New Roman" w:cs="Times New Roman"/>
          <w:sz w:val="24"/>
          <w:szCs w:val="24"/>
        </w:rPr>
        <w:t>20,0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7D2257" w:rsidRDefault="007D2257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>- прочие мероприятия по благоустройству</w:t>
      </w:r>
      <w:r w:rsidR="009F7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7DA">
        <w:rPr>
          <w:rFonts w:ascii="Times New Roman" w:eastAsia="Times New Roman" w:hAnsi="Times New Roman" w:cs="Times New Roman"/>
          <w:sz w:val="24"/>
          <w:szCs w:val="24"/>
        </w:rPr>
        <w:t>19,0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1472CE" w:rsidRPr="00281997" w:rsidRDefault="0075779D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     </w:t>
      </w:r>
      <w:r w:rsidR="007D2257" w:rsidRPr="003F28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по разделу </w:t>
      </w:r>
      <w:r w:rsidR="007D2257">
        <w:rPr>
          <w:rFonts w:ascii="Times New Roman" w:eastAsia="Times New Roman" w:hAnsi="Times New Roman" w:cs="Times New Roman"/>
          <w:b/>
          <w:bCs/>
          <w:sz w:val="24"/>
          <w:szCs w:val="24"/>
        </w:rPr>
        <w:t>10 «Социальн</w:t>
      </w:r>
      <w:r w:rsidR="00CB7E49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="007D22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7E49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политика</w:t>
      </w:r>
      <w:r w:rsidR="007D22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1472CE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>Расходы по  данному разделу в проекте бюджета сельского поселения определены в следующих объемах:</w:t>
      </w:r>
    </w:p>
    <w:p w:rsidR="001472CE" w:rsidRPr="003525FD" w:rsidRDefault="001960A6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3E47DA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1472CE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3E47DA">
        <w:rPr>
          <w:rFonts w:ascii="Times New Roman" w:eastAsia="Calibri" w:hAnsi="Times New Roman" w:cs="Times New Roman"/>
          <w:sz w:val="24"/>
          <w:szCs w:val="24"/>
          <w:lang w:eastAsia="en-US"/>
        </w:rPr>
        <w:t>161,8</w:t>
      </w:r>
      <w:r w:rsidR="001472CE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F31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472CE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руб. (к предыдущему году</w:t>
      </w:r>
      <w:r w:rsidR="009826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05BD6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E47DA">
        <w:rPr>
          <w:rFonts w:ascii="Times New Roman" w:eastAsia="Calibri" w:hAnsi="Times New Roman" w:cs="Times New Roman"/>
          <w:sz w:val="24"/>
          <w:szCs w:val="24"/>
          <w:lang w:eastAsia="en-US"/>
        </w:rPr>
        <w:t>36,4</w:t>
      </w:r>
      <w:r w:rsidR="001472CE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</w:t>
      </w:r>
      <w:r w:rsidR="009F5F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05BD6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E47DA">
        <w:rPr>
          <w:rFonts w:ascii="Times New Roman" w:eastAsia="Calibri" w:hAnsi="Times New Roman" w:cs="Times New Roman"/>
          <w:sz w:val="24"/>
          <w:szCs w:val="24"/>
          <w:lang w:eastAsia="en-US"/>
        </w:rPr>
        <w:t>18,4</w:t>
      </w:r>
      <w:r w:rsidR="00905BD6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 w:rsidR="009F5FF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1472CE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472CE" w:rsidRPr="003525FD" w:rsidRDefault="001960A6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3E47DA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F119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="001472CE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905B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16,2 </w:t>
      </w:r>
      <w:r w:rsidR="001472CE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F31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472CE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руб. (к предыдущему году </w:t>
      </w:r>
      <w:r w:rsidR="00905BD6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E47DA">
        <w:rPr>
          <w:rFonts w:ascii="Times New Roman" w:eastAsia="Calibri" w:hAnsi="Times New Roman" w:cs="Times New Roman"/>
          <w:sz w:val="24"/>
          <w:szCs w:val="24"/>
          <w:lang w:eastAsia="en-US"/>
        </w:rPr>
        <w:t>145,6</w:t>
      </w:r>
      <w:r w:rsidR="00905B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472CE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тыс. рублей, или </w:t>
      </w:r>
      <w:r w:rsidR="00905BD6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E47DA">
        <w:rPr>
          <w:rFonts w:ascii="Times New Roman" w:eastAsia="Calibri" w:hAnsi="Times New Roman" w:cs="Times New Roman"/>
          <w:sz w:val="24"/>
          <w:szCs w:val="24"/>
          <w:lang w:eastAsia="en-US"/>
        </w:rPr>
        <w:t>90,0</w:t>
      </w:r>
      <w:r w:rsidR="001472CE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1472CE" w:rsidRPr="003525FD" w:rsidRDefault="001960A6" w:rsidP="00A901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E47DA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472CE" w:rsidRPr="003525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05BD6">
        <w:rPr>
          <w:rFonts w:ascii="Times New Roman" w:eastAsia="Times New Roman" w:hAnsi="Times New Roman" w:cs="Times New Roman"/>
          <w:sz w:val="24"/>
          <w:szCs w:val="24"/>
        </w:rPr>
        <w:t>16,2</w:t>
      </w:r>
      <w:r w:rsidR="001472CE" w:rsidRPr="003525FD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  <w:r w:rsidR="001472CE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 предыдущему году </w:t>
      </w:r>
      <w:r w:rsidR="00B630C9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1472CE" w:rsidRPr="00281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или </w:t>
      </w:r>
      <w:r w:rsidR="001472CE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="001472CE" w:rsidRPr="003525FD">
        <w:rPr>
          <w:rFonts w:ascii="Times New Roman" w:eastAsia="Calibri" w:hAnsi="Times New Roman" w:cs="Times New Roman"/>
          <w:sz w:val="24"/>
          <w:szCs w:val="24"/>
          <w:lang w:eastAsia="en-US"/>
        </w:rPr>
        <w:t>%);</w:t>
      </w:r>
    </w:p>
    <w:p w:rsidR="001472CE" w:rsidRDefault="001472CE" w:rsidP="00A901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9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дельный вес </w:t>
      </w:r>
      <w:r w:rsidRPr="00281997">
        <w:rPr>
          <w:rFonts w:ascii="Times New Roman" w:eastAsia="Times New Roman" w:hAnsi="Times New Roman" w:cs="Times New Roman"/>
          <w:sz w:val="24"/>
          <w:szCs w:val="24"/>
        </w:rPr>
        <w:t xml:space="preserve">данного раздела 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в общих расходах составит </w:t>
      </w:r>
      <w:r w:rsidR="003E47DA">
        <w:rPr>
          <w:rFonts w:ascii="Times New Roman" w:eastAsia="Times New Roman" w:hAnsi="Times New Roman" w:cs="Times New Roman"/>
          <w:sz w:val="24"/>
          <w:szCs w:val="24"/>
        </w:rPr>
        <w:t>4,3</w:t>
      </w:r>
      <w:r w:rsidRPr="003525F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883CD2" w:rsidRDefault="00883CD2" w:rsidP="00A901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Данные расходы запланированы по подразделу </w:t>
      </w:r>
      <w:r>
        <w:rPr>
          <w:rFonts w:ascii="Times New Roman" w:eastAsia="Times New Roman" w:hAnsi="Times New Roman" w:cs="Times New Roman"/>
          <w:sz w:val="24"/>
          <w:szCs w:val="24"/>
        </w:rPr>
        <w:t>10 01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E49" w:rsidRPr="00CB7E49">
        <w:rPr>
          <w:rFonts w:ascii="Times New Roman" w:eastAsia="Times New Roman" w:hAnsi="Times New Roman" w:cs="Times New Roman"/>
          <w:bCs/>
          <w:sz w:val="24"/>
          <w:szCs w:val="24"/>
        </w:rPr>
        <w:t>«Социальное обеспечение населения»</w:t>
      </w:r>
      <w:r w:rsidR="00CB7E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предусмотрены на</w:t>
      </w:r>
      <w:r w:rsidR="00CB7E49">
        <w:rPr>
          <w:rFonts w:ascii="Times New Roman" w:eastAsia="Times New Roman" w:hAnsi="Times New Roman" w:cs="Times New Roman"/>
          <w:sz w:val="24"/>
          <w:szCs w:val="24"/>
        </w:rPr>
        <w:t xml:space="preserve"> выплату муниципальных пенсий.</w:t>
      </w:r>
    </w:p>
    <w:p w:rsidR="00831A2F" w:rsidRPr="008953E4" w:rsidRDefault="00831A2F" w:rsidP="00A901EC">
      <w:pPr>
        <w:spacing w:after="0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3 ст. 184.1 Бюджетного кодекса РФ </w:t>
      </w:r>
      <w:r w:rsidRPr="008953E4">
        <w:rPr>
          <w:rFonts w:ascii="Times New Roman" w:eastAsia="Times New Roman" w:hAnsi="Times New Roman" w:cs="Times New Roman"/>
          <w:sz w:val="24"/>
          <w:szCs w:val="24"/>
        </w:rPr>
        <w:t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</w:t>
      </w:r>
      <w:proofErr w:type="gramEnd"/>
      <w:r w:rsidRPr="008953E4">
        <w:rPr>
          <w:rFonts w:ascii="Times New Roman" w:eastAsia="Times New Roman" w:hAnsi="Times New Roman" w:cs="Times New Roman"/>
          <w:sz w:val="24"/>
          <w:szCs w:val="24"/>
        </w:rPr>
        <w:t xml:space="preserve"> 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00F0" w:rsidRDefault="00831A2F" w:rsidP="00A901E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Условно утверждаемые расходы на плановый период </w:t>
      </w:r>
      <w:r w:rsidR="00BD3688">
        <w:rPr>
          <w:rFonts w:ascii="Times New Roman" w:eastAsia="Times New Roman" w:hAnsi="Times New Roman" w:cs="Times New Roman"/>
          <w:sz w:val="24"/>
          <w:szCs w:val="24"/>
        </w:rPr>
        <w:t>2026-2027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утверждены, соответственно </w:t>
      </w:r>
      <w:r w:rsidR="006D09A9">
        <w:rPr>
          <w:rFonts w:ascii="Times New Roman" w:eastAsia="Times New Roman" w:hAnsi="Times New Roman" w:cs="Times New Roman"/>
          <w:sz w:val="24"/>
          <w:szCs w:val="24"/>
        </w:rPr>
        <w:t>33,2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D09A9">
        <w:rPr>
          <w:rFonts w:ascii="Times New Roman" w:eastAsia="Times New Roman" w:hAnsi="Times New Roman" w:cs="Times New Roman"/>
          <w:sz w:val="24"/>
          <w:szCs w:val="24"/>
        </w:rPr>
        <w:t>64,6</w:t>
      </w:r>
      <w:r w:rsidR="007E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тыс. рублей, что составляет 2,</w:t>
      </w:r>
      <w:r w:rsidR="006D09A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D09A9">
        <w:rPr>
          <w:rFonts w:ascii="Times New Roman" w:eastAsia="Times New Roman" w:hAnsi="Times New Roman" w:cs="Times New Roman"/>
          <w:sz w:val="24"/>
          <w:szCs w:val="24"/>
        </w:rPr>
        <w:t>4,7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%% от суммы общей расходов. </w:t>
      </w:r>
      <w:r w:rsidR="00D000F0">
        <w:rPr>
          <w:rFonts w:ascii="Times New Roman" w:eastAsia="Times New Roman" w:hAnsi="Times New Roman" w:cs="Times New Roman"/>
          <w:sz w:val="24"/>
          <w:szCs w:val="24"/>
        </w:rPr>
        <w:t>Ограничение п. 3 ст. 184.1 Бюджетного кодекса в части объема условно утверждаемых расходов  соблюдено.</w:t>
      </w:r>
    </w:p>
    <w:p w:rsidR="007D2257" w:rsidRPr="003F2812" w:rsidRDefault="007D2257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812">
        <w:rPr>
          <w:rFonts w:ascii="Times New Roman" w:eastAsia="Times New Roman" w:hAnsi="Times New Roman" w:cs="Times New Roman"/>
          <w:sz w:val="24"/>
          <w:szCs w:val="24"/>
        </w:rPr>
        <w:t>Главны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распорядител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средств бюджета </w:t>
      </w:r>
      <w:proofErr w:type="spellStart"/>
      <w:r w:rsidR="00890AAC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0AAC">
        <w:rPr>
          <w:rFonts w:ascii="Times New Roman" w:eastAsia="Times New Roman" w:hAnsi="Times New Roman" w:cs="Times New Roman"/>
          <w:sz w:val="24"/>
          <w:szCs w:val="24"/>
        </w:rPr>
        <w:t>Нивнянская</w:t>
      </w:r>
      <w:proofErr w:type="spellEnd"/>
      <w:r w:rsidRPr="003F2812">
        <w:rPr>
          <w:rFonts w:ascii="Times New Roman" w:eastAsia="Times New Roman" w:hAnsi="Times New Roman" w:cs="Times New Roman"/>
          <w:sz w:val="24"/>
          <w:szCs w:val="24"/>
        </w:rPr>
        <w:t xml:space="preserve"> сельская администрация Суражского района.</w:t>
      </w:r>
    </w:p>
    <w:p w:rsidR="00B92758" w:rsidRPr="00B1138D" w:rsidRDefault="00B92758" w:rsidP="00A901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3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DB6920" w:rsidRPr="00D52CA1" w:rsidRDefault="00DB6920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A1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E666FD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 бюджета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F18F1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34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50F08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F18F1">
        <w:rPr>
          <w:rFonts w:ascii="Times New Roman" w:eastAsia="Times New Roman" w:hAnsi="Times New Roman" w:cs="Times New Roman"/>
          <w:sz w:val="24"/>
          <w:szCs w:val="24"/>
        </w:rPr>
        <w:t>6</w:t>
      </w:r>
      <w:r w:rsidR="00550F0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F18F1">
        <w:rPr>
          <w:rFonts w:ascii="Times New Roman" w:eastAsia="Times New Roman" w:hAnsi="Times New Roman" w:cs="Times New Roman"/>
          <w:sz w:val="24"/>
          <w:szCs w:val="24"/>
        </w:rPr>
        <w:t>7</w:t>
      </w:r>
      <w:r w:rsidR="00550F08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83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75C" w:rsidRPr="00833796">
        <w:rPr>
          <w:rFonts w:ascii="Times New Roman" w:eastAsia="Times New Roman" w:hAnsi="Times New Roman" w:cs="Times New Roman"/>
          <w:sz w:val="24"/>
          <w:szCs w:val="24"/>
        </w:rPr>
        <w:t>бюджет сбалансирован.</w:t>
      </w:r>
      <w:r w:rsidRPr="0083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79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33796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833796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833796">
        <w:rPr>
          <w:rFonts w:ascii="Times New Roman" w:eastAsia="Times New Roman" w:hAnsi="Times New Roman" w:cs="Times New Roman"/>
          <w:sz w:val="24"/>
          <w:szCs w:val="24"/>
        </w:rPr>
        <w:t xml:space="preserve"> решения утвержден перечень главных администраторов </w:t>
      </w:r>
      <w:r w:rsidRPr="00833796">
        <w:rPr>
          <w:rFonts w:ascii="Times New Roman" w:eastAsia="Times New Roman" w:hAnsi="Times New Roman" w:cs="Times New Roman"/>
          <w:sz w:val="24"/>
          <w:szCs w:val="24"/>
        </w:rPr>
        <w:lastRenderedPageBreak/>
        <w:t>источников финансирования дефицита бюджета</w:t>
      </w:r>
      <w:r w:rsidR="00833796">
        <w:rPr>
          <w:rFonts w:ascii="Times New Roman" w:eastAsia="Times New Roman" w:hAnsi="Times New Roman" w:cs="Times New Roman"/>
          <w:sz w:val="24"/>
          <w:szCs w:val="24"/>
        </w:rPr>
        <w:t xml:space="preserve">, а так же </w:t>
      </w:r>
      <w:r w:rsidRPr="00833796">
        <w:rPr>
          <w:rFonts w:ascii="Times New Roman" w:eastAsia="Times New Roman" w:hAnsi="Times New Roman" w:cs="Times New Roman"/>
          <w:sz w:val="24"/>
          <w:szCs w:val="24"/>
        </w:rPr>
        <w:t xml:space="preserve">утверждены источники внутреннего финансирования дефицита бюджета </w:t>
      </w:r>
      <w:r w:rsidRPr="00D52CA1">
        <w:rPr>
          <w:rFonts w:ascii="Times New Roman" w:eastAsia="Times New Roman" w:hAnsi="Times New Roman" w:cs="Times New Roman"/>
          <w:sz w:val="24"/>
          <w:szCs w:val="24"/>
        </w:rPr>
        <w:t>– изменение остатков средств на счетах по учету средств бюджета.</w:t>
      </w:r>
    </w:p>
    <w:p w:rsidR="00DB6920" w:rsidRDefault="00DB6920" w:rsidP="00A901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A1">
        <w:rPr>
          <w:rFonts w:ascii="Times New Roman" w:eastAsia="Times New Roman" w:hAnsi="Times New Roman" w:cs="Times New Roman"/>
          <w:sz w:val="24"/>
          <w:szCs w:val="24"/>
        </w:rPr>
        <w:t> Ограничения, установленные п. 3 ст. 92.1 Бюджетного кодекса РФ соблюдены.</w:t>
      </w:r>
    </w:p>
    <w:p w:rsidR="00B92758" w:rsidRPr="00B1138D" w:rsidRDefault="00B92758" w:rsidP="00A901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3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Программная часть бюджета </w:t>
      </w:r>
      <w:proofErr w:type="spellStart"/>
      <w:r w:rsidR="00D821FB">
        <w:rPr>
          <w:rFonts w:ascii="Times New Roman" w:eastAsia="Times New Roman" w:hAnsi="Times New Roman" w:cs="Times New Roman"/>
          <w:b/>
          <w:bCs/>
          <w:sz w:val="24"/>
          <w:szCs w:val="24"/>
        </w:rPr>
        <w:t>Нивнянского</w:t>
      </w:r>
      <w:proofErr w:type="spellEnd"/>
      <w:r w:rsidR="00D821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B113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поселения </w:t>
      </w:r>
    </w:p>
    <w:p w:rsidR="00BD5918" w:rsidRPr="008135F5" w:rsidRDefault="00BD591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поселения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F18F1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 сформирован по программно-целевому принципу, предусматривающему формирование расходов исходя из целей, установленных </w:t>
      </w:r>
      <w:r w:rsidR="005878B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программами</w:t>
      </w:r>
      <w:r w:rsidR="003C32E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5918" w:rsidRPr="0024017B" w:rsidRDefault="003C32E9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918" w:rsidRPr="0024017B">
        <w:rPr>
          <w:rFonts w:ascii="Times New Roman" w:eastAsia="Times New Roman" w:hAnsi="Times New Roman" w:cs="Times New Roman"/>
          <w:sz w:val="24"/>
          <w:szCs w:val="24"/>
        </w:rPr>
        <w:t xml:space="preserve">«Реализация полномочий </w:t>
      </w:r>
      <w:r w:rsidR="006E2B67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="00141C40" w:rsidRPr="0024017B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="00BD5918" w:rsidRPr="0024017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</w:t>
      </w:r>
      <w:r w:rsidR="007A58C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F18F1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58C5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EF18F1">
        <w:rPr>
          <w:rFonts w:ascii="Times New Roman" w:eastAsia="Times New Roman" w:hAnsi="Times New Roman" w:cs="Times New Roman"/>
          <w:sz w:val="24"/>
          <w:szCs w:val="24"/>
        </w:rPr>
        <w:t>7</w:t>
      </w:r>
      <w:r w:rsidR="007A58C5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="00BD5918" w:rsidRPr="0024017B">
        <w:rPr>
          <w:rFonts w:ascii="Times New Roman" w:eastAsia="Times New Roman" w:hAnsi="Times New Roman" w:cs="Times New Roman"/>
          <w:sz w:val="24"/>
          <w:szCs w:val="24"/>
        </w:rPr>
        <w:t>)»;</w:t>
      </w:r>
    </w:p>
    <w:p w:rsidR="00BD5918" w:rsidRPr="0024017B" w:rsidRDefault="00BD591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17B"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муниципальными финансами </w:t>
      </w:r>
      <w:proofErr w:type="spellStart"/>
      <w:r w:rsidR="00141C40" w:rsidRPr="0024017B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24017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</w:t>
      </w:r>
      <w:r w:rsidR="007A58C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F18F1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58C5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EF18F1">
        <w:rPr>
          <w:rFonts w:ascii="Times New Roman" w:eastAsia="Times New Roman" w:hAnsi="Times New Roman" w:cs="Times New Roman"/>
          <w:sz w:val="24"/>
          <w:szCs w:val="24"/>
        </w:rPr>
        <w:t>7</w:t>
      </w:r>
      <w:r w:rsidR="007A58C5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Pr="0024017B">
        <w:rPr>
          <w:rFonts w:ascii="Times New Roman" w:eastAsia="Times New Roman" w:hAnsi="Times New Roman" w:cs="Times New Roman"/>
          <w:sz w:val="24"/>
          <w:szCs w:val="24"/>
        </w:rPr>
        <w:t>)»;</w:t>
      </w:r>
    </w:p>
    <w:p w:rsidR="00BD5918" w:rsidRPr="0024017B" w:rsidRDefault="00BD591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17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41C40" w:rsidRPr="0024017B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пожарной безопасности </w:t>
      </w:r>
      <w:proofErr w:type="spellStart"/>
      <w:r w:rsidR="00141C40" w:rsidRPr="0024017B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="00141C40" w:rsidRPr="002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17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F18F1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4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1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F18F1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941" w:rsidRPr="0024017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24017B">
        <w:rPr>
          <w:rFonts w:ascii="Times New Roman" w:eastAsia="Times New Roman" w:hAnsi="Times New Roman" w:cs="Times New Roman"/>
          <w:sz w:val="24"/>
          <w:szCs w:val="24"/>
        </w:rPr>
        <w:t>ы».</w:t>
      </w:r>
    </w:p>
    <w:p w:rsidR="00141C40" w:rsidRPr="0024017B" w:rsidRDefault="00141C40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17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24017B">
        <w:rPr>
          <w:rFonts w:ascii="Times New Roman" w:eastAsia="Times New Roman" w:hAnsi="Times New Roman" w:cs="Times New Roman"/>
          <w:sz w:val="24"/>
          <w:szCs w:val="24"/>
        </w:rPr>
        <w:t>Нивнянском</w:t>
      </w:r>
      <w:proofErr w:type="spellEnd"/>
      <w:r w:rsidRPr="0024017B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программы разработаны в соответствии с Порядком, утвержденным  постановлением </w:t>
      </w:r>
      <w:proofErr w:type="spellStart"/>
      <w:r w:rsidRPr="0024017B">
        <w:rPr>
          <w:rFonts w:ascii="Times New Roman" w:eastAsia="Times New Roman" w:hAnsi="Times New Roman" w:cs="Times New Roman"/>
          <w:sz w:val="24"/>
          <w:szCs w:val="24"/>
        </w:rPr>
        <w:t>Нивнянской</w:t>
      </w:r>
      <w:proofErr w:type="spellEnd"/>
      <w:r w:rsidRPr="0024017B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от 18.10.2016 года №90/1 «Об утверждении порядка разработки, реализации и оценки эффективности муниципальных программ». </w:t>
      </w:r>
      <w:r w:rsidR="006E2B67">
        <w:rPr>
          <w:rFonts w:ascii="Times New Roman" w:eastAsia="Times New Roman" w:hAnsi="Times New Roman" w:cs="Times New Roman"/>
          <w:sz w:val="24"/>
          <w:szCs w:val="24"/>
        </w:rPr>
        <w:t>Перечень муниципальных программ поселения утвержден постановлением от 1</w:t>
      </w:r>
      <w:r w:rsidR="00EF18F1">
        <w:rPr>
          <w:rFonts w:ascii="Times New Roman" w:eastAsia="Times New Roman" w:hAnsi="Times New Roman" w:cs="Times New Roman"/>
          <w:sz w:val="24"/>
          <w:szCs w:val="24"/>
        </w:rPr>
        <w:t>5</w:t>
      </w:r>
      <w:r w:rsidR="006E2B67"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EF18F1">
        <w:rPr>
          <w:rFonts w:ascii="Times New Roman" w:eastAsia="Times New Roman" w:hAnsi="Times New Roman" w:cs="Times New Roman"/>
          <w:sz w:val="24"/>
          <w:szCs w:val="24"/>
        </w:rPr>
        <w:t>4</w:t>
      </w:r>
      <w:r w:rsidR="006E2B67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244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8F1">
        <w:rPr>
          <w:rFonts w:ascii="Times New Roman" w:eastAsia="Times New Roman" w:hAnsi="Times New Roman" w:cs="Times New Roman"/>
          <w:sz w:val="24"/>
          <w:szCs w:val="24"/>
        </w:rPr>
        <w:t>32</w:t>
      </w:r>
      <w:r w:rsidR="006E2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C40" w:rsidRPr="00AE4564" w:rsidRDefault="00141C40" w:rsidP="00A901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564">
        <w:rPr>
          <w:rFonts w:ascii="Times New Roman" w:eastAsia="Times New Roman" w:hAnsi="Times New Roman" w:cs="Times New Roman"/>
          <w:sz w:val="24"/>
          <w:szCs w:val="24"/>
        </w:rPr>
        <w:t>В соответствии со ст. 184.2 Бюджетного кодекса РФ к проекту решения о бюджете представлены паспорта муниципальных программ.</w:t>
      </w:r>
    </w:p>
    <w:p w:rsidR="006F31B6" w:rsidRDefault="00BD5918" w:rsidP="00A901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C4B">
        <w:rPr>
          <w:rFonts w:ascii="Times New Roman" w:eastAsia="Times New Roman" w:hAnsi="Times New Roman" w:cs="Times New Roman"/>
          <w:sz w:val="24"/>
          <w:szCs w:val="24"/>
        </w:rPr>
        <w:t xml:space="preserve">В проекте  Решения «О бюджете </w:t>
      </w:r>
      <w:proofErr w:type="spellStart"/>
      <w:r w:rsidR="00D5157E" w:rsidRPr="00346C4B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346C4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BD3688" w:rsidRPr="00346C4B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 w:rsidRPr="00346C4B">
        <w:rPr>
          <w:rFonts w:ascii="Times New Roman" w:eastAsia="Times New Roman" w:hAnsi="Times New Roman" w:cs="Times New Roman"/>
          <w:sz w:val="24"/>
          <w:szCs w:val="24"/>
        </w:rPr>
        <w:t xml:space="preserve">»  расходы на реализацию целевых программ  в </w:t>
      </w:r>
      <w:r w:rsidR="001960A6" w:rsidRPr="00346C4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46C4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 w:rsidRPr="00346C4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346C4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346C4B">
        <w:rPr>
          <w:rFonts w:ascii="Times New Roman" w:eastAsia="Times New Roman" w:hAnsi="Times New Roman" w:cs="Times New Roman"/>
          <w:sz w:val="24"/>
          <w:szCs w:val="24"/>
        </w:rPr>
        <w:t xml:space="preserve">прогнозируются на </w:t>
      </w:r>
      <w:r w:rsidRPr="0034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C4B">
        <w:rPr>
          <w:rFonts w:ascii="Times New Roman" w:eastAsia="Times New Roman" w:hAnsi="Times New Roman" w:cs="Times New Roman"/>
          <w:sz w:val="24"/>
          <w:szCs w:val="24"/>
        </w:rPr>
        <w:t>3725,3</w:t>
      </w:r>
      <w:r w:rsidR="00873329" w:rsidRPr="00346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C4B">
        <w:rPr>
          <w:rFonts w:ascii="Times New Roman" w:eastAsia="Times New Roman" w:hAnsi="Times New Roman" w:cs="Times New Roman"/>
          <w:sz w:val="24"/>
          <w:szCs w:val="24"/>
        </w:rPr>
        <w:t xml:space="preserve">рублей, что  соответствует </w:t>
      </w:r>
      <w:r w:rsidR="006F31B6" w:rsidRPr="00346C4B">
        <w:rPr>
          <w:rFonts w:ascii="Times New Roman" w:eastAsia="Times New Roman" w:hAnsi="Times New Roman" w:cs="Times New Roman"/>
          <w:sz w:val="24"/>
          <w:szCs w:val="24"/>
        </w:rPr>
        <w:t>99,8</w:t>
      </w:r>
      <w:r w:rsidRPr="00346C4B">
        <w:rPr>
          <w:rFonts w:ascii="Times New Roman" w:eastAsia="Times New Roman" w:hAnsi="Times New Roman" w:cs="Times New Roman"/>
          <w:sz w:val="24"/>
          <w:szCs w:val="24"/>
        </w:rPr>
        <w:t>% объема расходов бюджета</w:t>
      </w:r>
      <w:r w:rsidR="006F31B6" w:rsidRPr="00346C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758" w:rsidRPr="00F03DC8" w:rsidRDefault="00B92758" w:rsidP="00B927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DC8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программной части проекта решения о бюджете</w:t>
      </w:r>
    </w:p>
    <w:p w:rsidR="00B92758" w:rsidRPr="00012EED" w:rsidRDefault="00B92758" w:rsidP="00B9275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2E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 </w:t>
      </w:r>
      <w:r w:rsidRPr="00012EED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493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EED">
        <w:rPr>
          <w:rFonts w:ascii="Times New Roman" w:eastAsia="Times New Roman" w:hAnsi="Times New Roman" w:cs="Times New Roman"/>
          <w:sz w:val="24"/>
          <w:szCs w:val="24"/>
        </w:rPr>
        <w:t>9, тыс. рублей</w:t>
      </w:r>
    </w:p>
    <w:tbl>
      <w:tblPr>
        <w:tblW w:w="9618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536"/>
        <w:gridCol w:w="1275"/>
        <w:gridCol w:w="1134"/>
        <w:gridCol w:w="1134"/>
        <w:gridCol w:w="1103"/>
      </w:tblGrid>
      <w:tr w:rsidR="00012EED" w:rsidRPr="00F619E9" w:rsidTr="00413819">
        <w:trPr>
          <w:trHeight w:val="132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ED" w:rsidRPr="00F619E9" w:rsidRDefault="00012EED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012EED" w:rsidRPr="00F619E9" w:rsidRDefault="00012EED" w:rsidP="002B494D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ED" w:rsidRPr="00F619E9" w:rsidRDefault="00012EED" w:rsidP="002B494D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программы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ED" w:rsidRPr="00F619E9" w:rsidRDefault="00012EED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Ожидае</w:t>
            </w:r>
            <w:proofErr w:type="spellEnd"/>
          </w:p>
          <w:p w:rsidR="00012EED" w:rsidRPr="00F619E9" w:rsidRDefault="00012EED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мое  </w:t>
            </w:r>
            <w:proofErr w:type="spellStart"/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</w:t>
            </w:r>
            <w:proofErr w:type="spellEnd"/>
          </w:p>
          <w:p w:rsidR="00012EED" w:rsidRPr="00F619E9" w:rsidRDefault="00012EED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нение</w:t>
            </w:r>
            <w:proofErr w:type="spellEnd"/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012EED" w:rsidRPr="00F619E9" w:rsidRDefault="001960A6" w:rsidP="00001F81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001F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F119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ED" w:rsidRPr="00F619E9" w:rsidRDefault="00012EED" w:rsidP="00001F81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 </w:t>
            </w:r>
            <w:r w:rsidR="001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001F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F119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ED" w:rsidRPr="00F619E9" w:rsidRDefault="00012EED" w:rsidP="002B494D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</w:t>
            </w:r>
            <w:proofErr w:type="gramStart"/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(+,-)</w:t>
            </w:r>
            <w:proofErr w:type="gramEnd"/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ED" w:rsidRPr="00F619E9" w:rsidRDefault="00012EED" w:rsidP="002B494D">
            <w:pPr>
              <w:spacing w:after="0" w:line="13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</w:t>
            </w:r>
            <w:proofErr w:type="gramStart"/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346C4B" w:rsidRPr="00F619E9" w:rsidTr="00841B84">
        <w:trPr>
          <w:trHeight w:val="597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C4B" w:rsidRPr="00F619E9" w:rsidRDefault="00346C4B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C4B" w:rsidRPr="00F619E9" w:rsidRDefault="00346C4B" w:rsidP="00001F8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«Реализация полномочий органов местного самоуправления </w:t>
            </w:r>
            <w:proofErr w:type="spellStart"/>
            <w:r w:rsidRPr="005A50F7">
              <w:rPr>
                <w:rFonts w:ascii="Times New Roman" w:eastAsia="Times New Roman" w:hAnsi="Times New Roman" w:cs="Times New Roman"/>
                <w:sz w:val="18"/>
                <w:szCs w:val="18"/>
              </w:rPr>
              <w:t>Нивнянского</w:t>
            </w:r>
            <w:proofErr w:type="spellEnd"/>
            <w:r w:rsidRPr="00F619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сельского поселения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  <w:r w:rsidRPr="00F619E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  <w:r w:rsidRPr="00F619E9">
              <w:rPr>
                <w:rFonts w:ascii="Times New Roman" w:eastAsia="Times New Roman" w:hAnsi="Times New Roman" w:cs="Times New Roman"/>
                <w:sz w:val="18"/>
                <w:szCs w:val="18"/>
              </w:rPr>
              <w:t>гг.»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C4B" w:rsidRPr="00654F30" w:rsidRDefault="00346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C4B" w:rsidRPr="00654F30" w:rsidRDefault="00346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C4B" w:rsidRPr="00346C4B" w:rsidRDefault="00346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C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C4B" w:rsidRPr="00346C4B" w:rsidRDefault="00346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C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114,8</w:t>
            </w:r>
          </w:p>
        </w:tc>
      </w:tr>
      <w:tr w:rsidR="00346C4B" w:rsidRPr="00F619E9" w:rsidTr="00841B84">
        <w:trPr>
          <w:trHeight w:val="37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C4B" w:rsidRPr="00F619E9" w:rsidRDefault="00346C4B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C4B" w:rsidRPr="00F619E9" w:rsidRDefault="00346C4B" w:rsidP="00001F8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«Управление муниципальными финансами </w:t>
            </w:r>
            <w:proofErr w:type="spellStart"/>
            <w:r w:rsidRPr="005A50F7">
              <w:rPr>
                <w:rFonts w:ascii="Times New Roman" w:eastAsia="Times New Roman" w:hAnsi="Times New Roman" w:cs="Times New Roman"/>
                <w:sz w:val="18"/>
                <w:szCs w:val="18"/>
              </w:rPr>
              <w:t>Нивнянского</w:t>
            </w:r>
            <w:proofErr w:type="spellEnd"/>
            <w:r w:rsidRPr="00F619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  <w:r w:rsidRPr="00F619E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  <w:r w:rsidRPr="00F619E9">
              <w:rPr>
                <w:rFonts w:ascii="Times New Roman" w:eastAsia="Times New Roman" w:hAnsi="Times New Roman" w:cs="Times New Roman"/>
                <w:sz w:val="18"/>
                <w:szCs w:val="18"/>
              </w:rPr>
              <w:t>гг.»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C4B" w:rsidRPr="00654F30" w:rsidRDefault="00346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C4B" w:rsidRPr="00654F30" w:rsidRDefault="00346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C4B" w:rsidRPr="00346C4B" w:rsidRDefault="00346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C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C4B" w:rsidRPr="00346C4B" w:rsidRDefault="00346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C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113,3</w:t>
            </w:r>
          </w:p>
        </w:tc>
      </w:tr>
      <w:tr w:rsidR="00346C4B" w:rsidRPr="00F619E9" w:rsidTr="00841B84">
        <w:trPr>
          <w:trHeight w:val="486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F619E9" w:rsidRDefault="00346C4B" w:rsidP="002B49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5A50F7" w:rsidRDefault="00346C4B" w:rsidP="00001F81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0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«Обеспечение пожарной безопасности </w:t>
            </w:r>
            <w:proofErr w:type="spellStart"/>
            <w:r w:rsidRPr="005A50F7">
              <w:rPr>
                <w:rFonts w:ascii="Times New Roman" w:eastAsia="Times New Roman" w:hAnsi="Times New Roman" w:cs="Times New Roman"/>
                <w:sz w:val="18"/>
                <w:szCs w:val="18"/>
              </w:rPr>
              <w:t>Нивнянского</w:t>
            </w:r>
            <w:proofErr w:type="spellEnd"/>
            <w:r w:rsidRPr="005A50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  <w:r w:rsidRPr="005A50F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  <w:r w:rsidRPr="005A50F7">
              <w:rPr>
                <w:rFonts w:ascii="Times New Roman" w:eastAsia="Times New Roman" w:hAnsi="Times New Roman" w:cs="Times New Roman"/>
                <w:sz w:val="18"/>
                <w:szCs w:val="18"/>
              </w:rPr>
              <w:t>ы».</w:t>
            </w:r>
          </w:p>
          <w:p w:rsidR="00346C4B" w:rsidRPr="00F619E9" w:rsidRDefault="00346C4B" w:rsidP="00601B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4B" w:rsidRPr="00654F30" w:rsidRDefault="00346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4B" w:rsidRPr="00654F30" w:rsidRDefault="00346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4B" w:rsidRPr="00346C4B" w:rsidRDefault="00346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C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-267,8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C4B" w:rsidRPr="00346C4B" w:rsidRDefault="00346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C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74,9</w:t>
            </w:r>
          </w:p>
        </w:tc>
      </w:tr>
      <w:tr w:rsidR="00346C4B" w:rsidRPr="00F619E9" w:rsidTr="00393A93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6C4B" w:rsidRPr="00F619E9" w:rsidRDefault="00346C4B" w:rsidP="002B49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6C4B" w:rsidRPr="00F619E9" w:rsidRDefault="00346C4B" w:rsidP="002B49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C4B" w:rsidRPr="00654F30" w:rsidRDefault="00346C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C4B" w:rsidRPr="00654F30" w:rsidRDefault="00346C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C4B" w:rsidRPr="00346C4B" w:rsidRDefault="00346C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6C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C4B" w:rsidRPr="00346C4B" w:rsidRDefault="00346C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6C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103,0</w:t>
            </w:r>
          </w:p>
        </w:tc>
      </w:tr>
    </w:tbl>
    <w:p w:rsidR="006F31B6" w:rsidRDefault="00D20456" w:rsidP="00A901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Программные расходы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46C4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346C4B">
        <w:rPr>
          <w:rFonts w:ascii="Times New Roman" w:eastAsia="Times New Roman" w:hAnsi="Times New Roman" w:cs="Times New Roman"/>
          <w:sz w:val="24"/>
          <w:szCs w:val="24"/>
        </w:rPr>
        <w:t>106,8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346C4B">
        <w:rPr>
          <w:rFonts w:ascii="Times New Roman" w:eastAsia="Times New Roman" w:hAnsi="Times New Roman" w:cs="Times New Roman"/>
          <w:sz w:val="24"/>
          <w:szCs w:val="24"/>
        </w:rPr>
        <w:t>3,0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346C4B">
        <w:rPr>
          <w:rFonts w:ascii="Times New Roman" w:eastAsia="Times New Roman" w:hAnsi="Times New Roman" w:cs="Times New Roman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46C4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  <w:r w:rsidR="006F31B6" w:rsidRPr="006F31B6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</w:t>
      </w:r>
      <w:r w:rsidR="00346C4B">
        <w:rPr>
          <w:rFonts w:ascii="Times New Roman" w:eastAsia="Times New Roman" w:hAnsi="Times New Roman" w:cs="Times New Roman"/>
          <w:sz w:val="24"/>
          <w:szCs w:val="24"/>
        </w:rPr>
        <w:t>74,4</w:t>
      </w:r>
      <w:r w:rsidR="00493D8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6F31B6" w:rsidRPr="006F31B6">
        <w:rPr>
          <w:rFonts w:ascii="Times New Roman" w:eastAsia="Times New Roman" w:hAnsi="Times New Roman" w:cs="Times New Roman"/>
          <w:sz w:val="24"/>
          <w:szCs w:val="24"/>
        </w:rPr>
        <w:t xml:space="preserve">занимает программа «Реализация полномочий органов местного самоуправления </w:t>
      </w:r>
      <w:proofErr w:type="spellStart"/>
      <w:r w:rsidR="006F31B6" w:rsidRPr="006F31B6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="006F31B6" w:rsidRPr="006F31B6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46C4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F31B6" w:rsidRPr="006F31B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46C4B">
        <w:rPr>
          <w:rFonts w:ascii="Times New Roman" w:eastAsia="Times New Roman" w:hAnsi="Times New Roman" w:cs="Times New Roman"/>
          <w:sz w:val="24"/>
          <w:szCs w:val="24"/>
        </w:rPr>
        <w:t>7</w:t>
      </w:r>
      <w:r w:rsidR="006F31B6" w:rsidRPr="006F31B6">
        <w:rPr>
          <w:rFonts w:ascii="Times New Roman" w:eastAsia="Times New Roman" w:hAnsi="Times New Roman" w:cs="Times New Roman"/>
          <w:sz w:val="24"/>
          <w:szCs w:val="24"/>
        </w:rPr>
        <w:t>гг.»</w:t>
      </w:r>
      <w:r w:rsidR="00493D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70DB" w:rsidRPr="00D77815" w:rsidRDefault="002B70DB" w:rsidP="00A901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781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анализа соответствия объёмов бюджетных ассигнований, предусмотренных на реализацию муниципальных программ в проекте Решения о бюджете, показателям проектов паспортов муниципальных программ, установлено, что объёмы финансирования, предусмотренные проектом Решения о бюджете, соответствуют объёмам, предусмотренных проектами паспортов муниципальных программ.</w:t>
      </w:r>
    </w:p>
    <w:p w:rsidR="00012EED" w:rsidRPr="00937CD9" w:rsidRDefault="00587870" w:rsidP="00A901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12EED" w:rsidRPr="00937CD9">
        <w:rPr>
          <w:rFonts w:ascii="Times New Roman" w:eastAsia="Times New Roman" w:hAnsi="Times New Roman" w:cs="Times New Roman"/>
          <w:sz w:val="24"/>
          <w:szCs w:val="24"/>
        </w:rPr>
        <w:t xml:space="preserve">Непрограммные расходы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46C4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9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12EED" w:rsidRPr="00937CD9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предусмотрены в сумме </w:t>
      </w:r>
      <w:r w:rsidR="00346C4B">
        <w:rPr>
          <w:rFonts w:ascii="Times New Roman" w:eastAsia="Times New Roman" w:hAnsi="Times New Roman" w:cs="Times New Roman"/>
          <w:sz w:val="24"/>
          <w:szCs w:val="24"/>
        </w:rPr>
        <w:t>7,0</w:t>
      </w:r>
      <w:r w:rsidR="00012EED" w:rsidRPr="00937CD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</w:t>
      </w:r>
      <w:r w:rsidR="00346C4B">
        <w:rPr>
          <w:rFonts w:ascii="Times New Roman" w:eastAsia="Times New Roman" w:hAnsi="Times New Roman" w:cs="Times New Roman"/>
          <w:sz w:val="24"/>
          <w:szCs w:val="24"/>
        </w:rPr>
        <w:t xml:space="preserve"> менее 1,0% от </w:t>
      </w:r>
      <w:r w:rsidR="00012EED" w:rsidRPr="00937CD9">
        <w:rPr>
          <w:rFonts w:ascii="Times New Roman" w:eastAsia="Times New Roman" w:hAnsi="Times New Roman" w:cs="Times New Roman"/>
          <w:sz w:val="24"/>
          <w:szCs w:val="24"/>
        </w:rPr>
        <w:t xml:space="preserve"> общей суммы расходов</w:t>
      </w:r>
      <w:r w:rsidR="00423157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012EED" w:rsidRPr="00937C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33A" w:rsidRDefault="009D133A" w:rsidP="009D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A35E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Выводы</w:t>
      </w:r>
    </w:p>
    <w:p w:rsidR="00851E41" w:rsidRPr="00AB1365" w:rsidRDefault="00851E41" w:rsidP="009D1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5D51" w:rsidRDefault="00275D51" w:rsidP="00275D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C01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C768D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E1C01">
        <w:rPr>
          <w:rFonts w:ascii="Times New Roman" w:eastAsia="Times New Roman" w:hAnsi="Times New Roman" w:cs="Times New Roman"/>
          <w:sz w:val="24"/>
          <w:szCs w:val="24"/>
        </w:rPr>
        <w:t xml:space="preserve">ешения </w:t>
      </w:r>
      <w:proofErr w:type="spellStart"/>
      <w:r w:rsidRPr="00BE1C01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BE1C0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внесен в Контрольно-счётную палату Суражского муниципального района 1</w:t>
      </w:r>
      <w:r w:rsidR="0095638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E1C01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46C4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1C01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не противоречит </w:t>
      </w:r>
      <w:r w:rsidRPr="007F45CC">
        <w:rPr>
          <w:rFonts w:ascii="Times New Roman" w:eastAsia="Times New Roman" w:hAnsi="Times New Roman" w:cs="Times New Roman"/>
          <w:sz w:val="24"/>
          <w:szCs w:val="24"/>
        </w:rPr>
        <w:t>п. 1 ст. 185 Бюджетного кодекса РФ.</w:t>
      </w:r>
    </w:p>
    <w:p w:rsidR="00F94396" w:rsidRDefault="00893D35" w:rsidP="00C768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94396" w:rsidRPr="00F94396">
        <w:rPr>
          <w:rFonts w:ascii="Times New Roman" w:eastAsia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F94396" w:rsidRPr="00F94396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="00F94396" w:rsidRPr="00F943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разработан на период </w:t>
      </w:r>
      <w:r w:rsidR="007A58C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398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58C5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2A398C">
        <w:rPr>
          <w:rFonts w:ascii="Times New Roman" w:eastAsia="Times New Roman" w:hAnsi="Times New Roman" w:cs="Times New Roman"/>
          <w:sz w:val="24"/>
          <w:szCs w:val="24"/>
        </w:rPr>
        <w:t>7</w:t>
      </w:r>
      <w:r w:rsidR="007A58C5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="00F94396" w:rsidRPr="00F94396">
        <w:rPr>
          <w:rFonts w:ascii="Times New Roman" w:eastAsia="Times New Roman" w:hAnsi="Times New Roman" w:cs="Times New Roman"/>
          <w:sz w:val="24"/>
          <w:szCs w:val="24"/>
        </w:rPr>
        <w:t xml:space="preserve">, что соответствует установленному периоду в части 1 статьи 173 Бюджетного кодекса Российской Федерации. Прогноз социально-экономического развития </w:t>
      </w:r>
      <w:proofErr w:type="spellStart"/>
      <w:r w:rsidR="00F94396" w:rsidRPr="00F94396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="00F94396" w:rsidRPr="00F943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7A58C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398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58C5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2A398C">
        <w:rPr>
          <w:rFonts w:ascii="Times New Roman" w:eastAsia="Times New Roman" w:hAnsi="Times New Roman" w:cs="Times New Roman"/>
          <w:sz w:val="24"/>
          <w:szCs w:val="24"/>
        </w:rPr>
        <w:t>7</w:t>
      </w:r>
      <w:r w:rsidR="007A58C5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="00F94396" w:rsidRPr="00F94396">
        <w:rPr>
          <w:rFonts w:ascii="Times New Roman" w:eastAsia="Times New Roman" w:hAnsi="Times New Roman" w:cs="Times New Roman"/>
          <w:sz w:val="24"/>
          <w:szCs w:val="24"/>
        </w:rPr>
        <w:t xml:space="preserve"> (далее -  Прогноз) разработан в порядке, установленном постановлением </w:t>
      </w:r>
      <w:proofErr w:type="spellStart"/>
      <w:r w:rsidR="00F94396" w:rsidRPr="00F94396">
        <w:rPr>
          <w:rFonts w:ascii="Times New Roman" w:eastAsia="Times New Roman" w:hAnsi="Times New Roman" w:cs="Times New Roman"/>
          <w:sz w:val="24"/>
          <w:szCs w:val="24"/>
        </w:rPr>
        <w:t>Нивнянской</w:t>
      </w:r>
      <w:proofErr w:type="spellEnd"/>
      <w:r w:rsidR="00F94396" w:rsidRPr="00F94396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администрацией  Суражского района от 22.07.2016 г. №74/1 «Об утверждении Порядка разработки, корректировки, осуществления мониторинга и контроля реализации прогноза социально-экономического развития муниципального образования </w:t>
      </w:r>
      <w:proofErr w:type="spellStart"/>
      <w:r w:rsidR="00F94396" w:rsidRPr="00F94396">
        <w:rPr>
          <w:rFonts w:ascii="Times New Roman" w:eastAsia="Times New Roman" w:hAnsi="Times New Roman" w:cs="Times New Roman"/>
          <w:sz w:val="24"/>
          <w:szCs w:val="24"/>
        </w:rPr>
        <w:t>Нивнянское</w:t>
      </w:r>
      <w:proofErr w:type="spellEnd"/>
      <w:r w:rsidR="00F94396" w:rsidRPr="00F9439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 среднесрочный и долгосрочный период». В соответствии с частью 3 статьи 173 Бюджетного кодекса Российской Федерации Прогноз был утвержден постановлением </w:t>
      </w:r>
      <w:proofErr w:type="spellStart"/>
      <w:r w:rsidR="00F94396" w:rsidRPr="00F94396">
        <w:rPr>
          <w:rFonts w:ascii="Times New Roman" w:eastAsia="Times New Roman" w:hAnsi="Times New Roman" w:cs="Times New Roman"/>
          <w:sz w:val="24"/>
          <w:szCs w:val="24"/>
        </w:rPr>
        <w:t>Нивнянской</w:t>
      </w:r>
      <w:proofErr w:type="spellEnd"/>
      <w:r w:rsidR="00F94396" w:rsidRPr="00F94396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Суражского района от 14.11.202</w:t>
      </w:r>
      <w:r w:rsidR="002A39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F94396" w:rsidRPr="00F94396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2A398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F94396" w:rsidRPr="00F943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0D1" w:rsidRPr="00601B2C" w:rsidRDefault="007570D1" w:rsidP="0075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B2C">
        <w:rPr>
          <w:rFonts w:ascii="Times New Roman" w:eastAsia="Times New Roman" w:hAnsi="Times New Roman" w:cs="Times New Roman"/>
          <w:sz w:val="24"/>
          <w:szCs w:val="24"/>
        </w:rPr>
        <w:t>В соответствии с п. 4 ст. 173 БК РФ в пояснительной записке к прогнозу социально-экономического развития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321EC7" w:rsidRDefault="00321EC7" w:rsidP="0075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169 Бюджетного Кодекса РФ, проект бюджета составлен на основе прогноза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398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84B76">
        <w:rPr>
          <w:rFonts w:ascii="Times New Roman" w:eastAsia="Times New Roman" w:hAnsi="Times New Roman" w:cs="Times New Roman"/>
          <w:sz w:val="24"/>
          <w:szCs w:val="24"/>
        </w:rPr>
        <w:t xml:space="preserve"> и на период до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398C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84B76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697583" w:rsidRPr="00F35B5E" w:rsidRDefault="00697583" w:rsidP="00697583">
      <w:pPr>
        <w:tabs>
          <w:tab w:val="left" w:pos="0"/>
          <w:tab w:val="left" w:pos="6663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5B5E">
        <w:rPr>
          <w:rFonts w:ascii="Times New Roman" w:hAnsi="Times New Roman" w:cs="Times New Roman"/>
          <w:sz w:val="24"/>
          <w:szCs w:val="24"/>
        </w:rPr>
        <w:t xml:space="preserve">     При изучении проекта Решения о бюджете на 2025 год и плановый период 2026-2027 годов и приложений к нему, установлено, что </w:t>
      </w:r>
      <w:r w:rsidRPr="00F35B5E">
        <w:rPr>
          <w:rFonts w:ascii="Times New Roman" w:hAnsi="Times New Roman" w:cs="Times New Roman"/>
          <w:b/>
          <w:i/>
          <w:sz w:val="24"/>
          <w:szCs w:val="24"/>
        </w:rPr>
        <w:t>в нарушение ст. 184.1 Бюджетного кодекса РФ приложения представлены не в полном объеме, а именно отсутствует:</w:t>
      </w:r>
    </w:p>
    <w:p w:rsidR="00697583" w:rsidRPr="00F35B5E" w:rsidRDefault="00697583" w:rsidP="00697583">
      <w:pPr>
        <w:tabs>
          <w:tab w:val="left" w:pos="0"/>
          <w:tab w:val="left" w:pos="6663"/>
        </w:tabs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5B5E">
        <w:rPr>
          <w:rFonts w:ascii="Times New Roman" w:hAnsi="Times New Roman" w:cs="Times New Roman"/>
          <w:b/>
          <w:i/>
          <w:sz w:val="24"/>
          <w:szCs w:val="24"/>
        </w:rPr>
        <w:t xml:space="preserve">- приложение №7 «Программа муниципальных внутренних заимствований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Нивнянского</w:t>
      </w:r>
      <w:proofErr w:type="spellEnd"/>
      <w:r w:rsidRPr="00F35B5E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годов»;</w:t>
      </w:r>
    </w:p>
    <w:p w:rsidR="00697583" w:rsidRPr="00F35B5E" w:rsidRDefault="00697583" w:rsidP="00697583">
      <w:pPr>
        <w:tabs>
          <w:tab w:val="left" w:pos="0"/>
          <w:tab w:val="left" w:pos="6663"/>
        </w:tabs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5B5E">
        <w:rPr>
          <w:rFonts w:ascii="Times New Roman" w:hAnsi="Times New Roman" w:cs="Times New Roman"/>
          <w:b/>
          <w:i/>
          <w:sz w:val="24"/>
          <w:szCs w:val="24"/>
        </w:rPr>
        <w:t xml:space="preserve">-  приложение №8 «Распределение межбюджетных трансфертов, предоставляемых другим бюджетам бюджетной системы Российской Федерации из бюджета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Нивнянского</w:t>
      </w:r>
      <w:proofErr w:type="spellEnd"/>
      <w:r w:rsidRPr="00F35B5E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годов»;</w:t>
      </w:r>
    </w:p>
    <w:p w:rsidR="00697583" w:rsidRDefault="00697583" w:rsidP="00697583">
      <w:pPr>
        <w:tabs>
          <w:tab w:val="left" w:pos="0"/>
          <w:tab w:val="left" w:pos="6663"/>
        </w:tabs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5B5E">
        <w:rPr>
          <w:rFonts w:ascii="Times New Roman" w:hAnsi="Times New Roman" w:cs="Times New Roman"/>
          <w:b/>
          <w:i/>
          <w:sz w:val="24"/>
          <w:szCs w:val="24"/>
        </w:rPr>
        <w:t xml:space="preserve">- приложение№ 9 «Программа муниципальных гарантий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Нивнянского</w:t>
      </w:r>
      <w:proofErr w:type="spellEnd"/>
      <w:r w:rsidRPr="00F35B5E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Суражского муниципального района Брянской области на 2025 год и на плановый период 2026 и 2027 годов».</w:t>
      </w:r>
    </w:p>
    <w:p w:rsidR="002A398C" w:rsidRPr="00F35B5E" w:rsidRDefault="002A398C" w:rsidP="00697583">
      <w:pPr>
        <w:tabs>
          <w:tab w:val="left" w:pos="0"/>
          <w:tab w:val="left" w:pos="6663"/>
        </w:tabs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Нарушение устранено в ходе проверки.</w:t>
      </w:r>
    </w:p>
    <w:p w:rsidR="002B13FE" w:rsidRPr="00D52CA1" w:rsidRDefault="009D44B0" w:rsidP="002B1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D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13FE" w:rsidRPr="00D52CA1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398C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13F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B13FE" w:rsidRPr="00D5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3F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50F08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398C">
        <w:rPr>
          <w:rFonts w:ascii="Times New Roman" w:eastAsia="Times New Roman" w:hAnsi="Times New Roman" w:cs="Times New Roman"/>
          <w:sz w:val="24"/>
          <w:szCs w:val="24"/>
        </w:rPr>
        <w:t>6</w:t>
      </w:r>
      <w:r w:rsidR="00550F0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398C">
        <w:rPr>
          <w:rFonts w:ascii="Times New Roman" w:eastAsia="Times New Roman" w:hAnsi="Times New Roman" w:cs="Times New Roman"/>
          <w:sz w:val="24"/>
          <w:szCs w:val="24"/>
        </w:rPr>
        <w:t>7</w:t>
      </w:r>
      <w:r w:rsidR="00550F08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2B13FE" w:rsidRPr="00833796">
        <w:rPr>
          <w:rFonts w:ascii="Times New Roman" w:eastAsia="Times New Roman" w:hAnsi="Times New Roman" w:cs="Times New Roman"/>
          <w:sz w:val="24"/>
          <w:szCs w:val="24"/>
        </w:rPr>
        <w:t xml:space="preserve"> бюджет сбалансирован. </w:t>
      </w:r>
      <w:r w:rsidR="002B13F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B13FE" w:rsidRPr="00833796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2B13F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B13FE" w:rsidRPr="00833796">
        <w:rPr>
          <w:rFonts w:ascii="Times New Roman" w:eastAsia="Times New Roman" w:hAnsi="Times New Roman" w:cs="Times New Roman"/>
          <w:sz w:val="24"/>
          <w:szCs w:val="24"/>
        </w:rPr>
        <w:t xml:space="preserve"> решения утверждены источники внутреннего финансирования дефицита бюджета </w:t>
      </w:r>
      <w:r w:rsidR="002B13FE" w:rsidRPr="00D52CA1">
        <w:rPr>
          <w:rFonts w:ascii="Times New Roman" w:eastAsia="Times New Roman" w:hAnsi="Times New Roman" w:cs="Times New Roman"/>
          <w:sz w:val="24"/>
          <w:szCs w:val="24"/>
        </w:rPr>
        <w:t>– изменение остатков средств на счетах по учету средств бюджета.</w:t>
      </w:r>
    </w:p>
    <w:p w:rsidR="002B13FE" w:rsidRDefault="002B13FE" w:rsidP="00530135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A1">
        <w:rPr>
          <w:rFonts w:ascii="Times New Roman" w:eastAsia="Times New Roman" w:hAnsi="Times New Roman" w:cs="Times New Roman"/>
          <w:sz w:val="24"/>
          <w:szCs w:val="24"/>
        </w:rPr>
        <w:t> Ограничения, установленные п. 3 ст. 92.1 Бюджетного кодекса РФ соблюдены.</w:t>
      </w:r>
      <w:r w:rsidR="0053013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23F3F" w:rsidRPr="008E4744" w:rsidRDefault="00923F3F" w:rsidP="00923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Pr="008E4744">
        <w:rPr>
          <w:rFonts w:ascii="Times New Roman" w:eastAsia="Times New Roman" w:hAnsi="Times New Roman" w:cs="Times New Roman"/>
          <w:sz w:val="24"/>
          <w:szCs w:val="24"/>
        </w:rPr>
        <w:t>Прогнозирование собственных доходов отвечает нормам, установленными статьей 174.1 Бюджетного кодекса Российской Федерации, в условиях действующего на день внесения проекта решения о бюджете в законодательный (представительный) орган, законодательства о налогах и сборах и бюджетного законодательства.</w:t>
      </w:r>
      <w:proofErr w:type="gramEnd"/>
    </w:p>
    <w:p w:rsidR="00923F3F" w:rsidRDefault="00923F3F" w:rsidP="00923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744">
        <w:rPr>
          <w:rFonts w:ascii="Times New Roman" w:eastAsia="Times New Roman" w:hAnsi="Times New Roman" w:cs="Times New Roman"/>
          <w:sz w:val="24"/>
          <w:szCs w:val="24"/>
        </w:rPr>
        <w:t xml:space="preserve">При расчетах соблюдены положения нормативно-правовых актов Российской Федерации и Брянской области, предусматривающие изменения в законодательство о налогах и сборах, вступающие в действие с 1 января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398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4744">
        <w:rPr>
          <w:rFonts w:ascii="Times New Roman" w:eastAsia="Times New Roman" w:hAnsi="Times New Roman" w:cs="Times New Roman"/>
          <w:sz w:val="24"/>
          <w:szCs w:val="24"/>
        </w:rPr>
        <w:t xml:space="preserve"> года и последующие годы.</w:t>
      </w:r>
    </w:p>
    <w:p w:rsidR="00353B2B" w:rsidRDefault="00353B2B" w:rsidP="00353B2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Условно утверждаемые расходы на плановый период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398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398C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годы составля</w:t>
      </w:r>
      <w:r w:rsidR="00F70B0F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2A398C">
        <w:rPr>
          <w:rFonts w:ascii="Times New Roman" w:eastAsia="Times New Roman" w:hAnsi="Times New Roman" w:cs="Times New Roman"/>
          <w:sz w:val="24"/>
          <w:szCs w:val="24"/>
        </w:rPr>
        <w:t>2,3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A398C">
        <w:rPr>
          <w:rFonts w:ascii="Times New Roman" w:eastAsia="Times New Roman" w:hAnsi="Times New Roman" w:cs="Times New Roman"/>
          <w:sz w:val="24"/>
          <w:szCs w:val="24"/>
        </w:rPr>
        <w:t>4,7</w:t>
      </w:r>
      <w:r>
        <w:rPr>
          <w:rFonts w:ascii="Times New Roman" w:eastAsia="Times New Roman" w:hAnsi="Times New Roman" w:cs="Times New Roman"/>
          <w:sz w:val="24"/>
          <w:szCs w:val="24"/>
        </w:rPr>
        <w:t>%% от суммы общей расходов. Ограничение п. 3 ст. 184.1 Бюджетного кодекса в части объема условно утверждаемых расходов  соблюдено.</w:t>
      </w:r>
    </w:p>
    <w:p w:rsidR="00611054" w:rsidRPr="005D2F8F" w:rsidRDefault="00611054" w:rsidP="00611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8F">
        <w:rPr>
          <w:rFonts w:ascii="Times New Roman" w:eastAsia="Times New Roman" w:hAnsi="Times New Roman" w:cs="Times New Roman"/>
          <w:sz w:val="24"/>
          <w:szCs w:val="24"/>
        </w:rPr>
        <w:t>Размер резервного фонда в проекте бюджета не превышает установленное статьей 81 БК РФ ограничение 3,0% общего объема расходов.</w:t>
      </w:r>
    </w:p>
    <w:p w:rsidR="006A1440" w:rsidRPr="008135F5" w:rsidRDefault="006A1440" w:rsidP="006A1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Проект бюджета поселения сформирован по программно-целевому принципу, предусматривающему формирование расходов исходя из целей, установленных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35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программами. </w:t>
      </w:r>
    </w:p>
    <w:p w:rsidR="002A398C" w:rsidRPr="002A398C" w:rsidRDefault="002A398C" w:rsidP="002A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2A398C">
        <w:rPr>
          <w:rFonts w:ascii="Times New Roman" w:eastAsia="Times New Roman" w:hAnsi="Times New Roman" w:cs="Times New Roman"/>
          <w:sz w:val="24"/>
          <w:szCs w:val="24"/>
        </w:rPr>
        <w:t>Нивнянском</w:t>
      </w:r>
      <w:proofErr w:type="spellEnd"/>
      <w:r w:rsidRPr="002A398C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программы разработаны в соответствии с Порядком, утвержденным  постановлением </w:t>
      </w:r>
      <w:proofErr w:type="spellStart"/>
      <w:r w:rsidRPr="002A398C">
        <w:rPr>
          <w:rFonts w:ascii="Times New Roman" w:eastAsia="Times New Roman" w:hAnsi="Times New Roman" w:cs="Times New Roman"/>
          <w:sz w:val="24"/>
          <w:szCs w:val="24"/>
        </w:rPr>
        <w:t>Нивнянской</w:t>
      </w:r>
      <w:proofErr w:type="spellEnd"/>
      <w:r w:rsidRPr="002A398C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от 18.10.2016 года №90/1 «Об утверждении порядка разработки, реализации и оценки эффективности муниципальных программ». Перечень муниципальных программ поселения утвержден постановлением от 15.11.2024г. № 32.</w:t>
      </w:r>
    </w:p>
    <w:p w:rsidR="002A398C" w:rsidRPr="002A398C" w:rsidRDefault="002A398C" w:rsidP="002A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8C">
        <w:rPr>
          <w:rFonts w:ascii="Times New Roman" w:eastAsia="Times New Roman" w:hAnsi="Times New Roman" w:cs="Times New Roman"/>
          <w:sz w:val="24"/>
          <w:szCs w:val="24"/>
        </w:rPr>
        <w:t>В соответствии со ст. 184.2 Бюджетного кодекса РФ к проекту решения о бюджете представлены паспорта муниципальных программ.</w:t>
      </w:r>
    </w:p>
    <w:p w:rsidR="002A398C" w:rsidRDefault="002A398C" w:rsidP="002A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8C">
        <w:rPr>
          <w:rFonts w:ascii="Times New Roman" w:eastAsia="Times New Roman" w:hAnsi="Times New Roman" w:cs="Times New Roman"/>
          <w:sz w:val="24"/>
          <w:szCs w:val="24"/>
        </w:rPr>
        <w:t xml:space="preserve">В проекте  Решения «О бюджете </w:t>
      </w:r>
      <w:proofErr w:type="spellStart"/>
      <w:r w:rsidRPr="002A398C">
        <w:rPr>
          <w:rFonts w:ascii="Times New Roman" w:eastAsia="Times New Roman" w:hAnsi="Times New Roman" w:cs="Times New Roman"/>
          <w:sz w:val="24"/>
          <w:szCs w:val="24"/>
        </w:rPr>
        <w:t>Нивнянского</w:t>
      </w:r>
      <w:proofErr w:type="spellEnd"/>
      <w:r w:rsidRPr="002A39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годов»  расходы на реализацию целевых программ  в 2025 году прогнозируются на  3725,3 рублей, что  соответствует 99,8% объема расходов бюджета.</w:t>
      </w:r>
    </w:p>
    <w:p w:rsidR="00B11CCD" w:rsidRPr="00D77815" w:rsidRDefault="00B11CCD" w:rsidP="002A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7781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анализа соответствия объёмов бюджетных ассигнований, предусмотренных на реализацию муниципальных программ в проекте Решения о бюджете, показателям проектов паспортов муниципальных программ, установлено, что объёмы финансирования, предусмотренные проектом Решения о бюджете, соответствуют объёмам, предусмотренных проектами паспортов муниципальных программ.</w:t>
      </w:r>
    </w:p>
    <w:p w:rsidR="00605C5F" w:rsidRPr="00937CD9" w:rsidRDefault="00605C5F" w:rsidP="00605C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37CD9">
        <w:rPr>
          <w:rFonts w:ascii="Times New Roman" w:eastAsia="Times New Roman" w:hAnsi="Times New Roman" w:cs="Times New Roman"/>
          <w:sz w:val="24"/>
          <w:szCs w:val="24"/>
        </w:rPr>
        <w:t xml:space="preserve">Непрограммные расходы на </w:t>
      </w:r>
      <w:r w:rsidR="001960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398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937CD9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предусмотрены в сумме </w:t>
      </w:r>
      <w:r w:rsidR="002A398C">
        <w:rPr>
          <w:rFonts w:ascii="Times New Roman" w:eastAsia="Times New Roman" w:hAnsi="Times New Roman" w:cs="Times New Roman"/>
          <w:sz w:val="24"/>
          <w:szCs w:val="24"/>
        </w:rPr>
        <w:t>7,0</w:t>
      </w:r>
      <w:r w:rsidRPr="00937CD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2A398C">
        <w:rPr>
          <w:rFonts w:ascii="Times New Roman" w:eastAsia="Times New Roman" w:hAnsi="Times New Roman" w:cs="Times New Roman"/>
          <w:sz w:val="24"/>
          <w:szCs w:val="24"/>
        </w:rPr>
        <w:t>менее 1,0</w:t>
      </w:r>
      <w:r w:rsidRPr="00937CD9">
        <w:rPr>
          <w:rFonts w:ascii="Times New Roman" w:eastAsia="Times New Roman" w:hAnsi="Times New Roman" w:cs="Times New Roman"/>
          <w:sz w:val="24"/>
          <w:szCs w:val="24"/>
        </w:rPr>
        <w:t>% от общей суммы расходов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Pr="00937C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ABB" w:rsidRPr="00146461" w:rsidRDefault="00AB53B7" w:rsidP="0014646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CD3" w:rsidRPr="001464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067ABB" w:rsidRPr="00146461">
        <w:rPr>
          <w:rFonts w:ascii="Times New Roman" w:eastAsia="Times New Roman" w:hAnsi="Times New Roman" w:cs="Times New Roman"/>
          <w:b/>
          <w:sz w:val="24"/>
          <w:szCs w:val="24"/>
        </w:rPr>
        <w:t>ПРЕДЛОЖЕНИЯ:</w:t>
      </w:r>
    </w:p>
    <w:p w:rsidR="00A949F1" w:rsidRPr="00146461" w:rsidRDefault="00067ABB" w:rsidP="00146461">
      <w:pPr>
        <w:pStyle w:val="af4"/>
        <w:numPr>
          <w:ilvl w:val="0"/>
          <w:numId w:val="23"/>
        </w:numPr>
        <w:jc w:val="both"/>
        <w:rPr>
          <w:bCs/>
          <w:sz w:val="24"/>
          <w:szCs w:val="24"/>
        </w:rPr>
      </w:pPr>
      <w:r w:rsidRPr="00146461">
        <w:rPr>
          <w:sz w:val="24"/>
          <w:szCs w:val="24"/>
        </w:rPr>
        <w:t xml:space="preserve">Считать обязательства по финансовому обеспечению Указов Президента Российской Федерации первоочередными при принятии решений о внесении  изменений в решение </w:t>
      </w:r>
      <w:r w:rsidR="00A949F1" w:rsidRPr="00146461">
        <w:rPr>
          <w:bCs/>
          <w:sz w:val="24"/>
          <w:szCs w:val="24"/>
        </w:rPr>
        <w:t xml:space="preserve">«О бюджете </w:t>
      </w:r>
      <w:proofErr w:type="spellStart"/>
      <w:r w:rsidR="00A949F1" w:rsidRPr="00146461">
        <w:rPr>
          <w:bCs/>
          <w:sz w:val="24"/>
          <w:szCs w:val="24"/>
        </w:rPr>
        <w:t>Нивнянского</w:t>
      </w:r>
      <w:proofErr w:type="spellEnd"/>
      <w:r w:rsidR="00A949F1" w:rsidRPr="00146461">
        <w:rPr>
          <w:bCs/>
          <w:sz w:val="24"/>
          <w:szCs w:val="24"/>
        </w:rPr>
        <w:t xml:space="preserve"> сельского поселения Суражского муниципального района Брянской области </w:t>
      </w:r>
      <w:r w:rsidR="00BD3688">
        <w:rPr>
          <w:bCs/>
          <w:sz w:val="24"/>
          <w:szCs w:val="24"/>
        </w:rPr>
        <w:t>на 2025 год и на плановый период 2026 и 2027 годов</w:t>
      </w:r>
      <w:r w:rsidR="00A949F1" w:rsidRPr="00146461">
        <w:rPr>
          <w:bCs/>
          <w:sz w:val="24"/>
          <w:szCs w:val="24"/>
        </w:rPr>
        <w:t>».</w:t>
      </w:r>
    </w:p>
    <w:p w:rsidR="00012EED" w:rsidRDefault="00067ABB" w:rsidP="00146461">
      <w:pPr>
        <w:pStyle w:val="af4"/>
        <w:numPr>
          <w:ilvl w:val="0"/>
          <w:numId w:val="23"/>
        </w:numPr>
        <w:jc w:val="both"/>
        <w:rPr>
          <w:sz w:val="24"/>
          <w:szCs w:val="24"/>
        </w:rPr>
      </w:pPr>
      <w:r w:rsidRPr="00146461">
        <w:rPr>
          <w:sz w:val="24"/>
          <w:szCs w:val="24"/>
        </w:rPr>
        <w:t>В целях увеличения доходов бюджета, продолжить работу по сокращению недоимки по платежам и дальнейшего совершенствованию администрирования доходов бюджета.</w:t>
      </w:r>
    </w:p>
    <w:p w:rsidR="00B92758" w:rsidRPr="00EC4099" w:rsidRDefault="008D1B18" w:rsidP="00EC4099">
      <w:pPr>
        <w:pStyle w:val="af4"/>
        <w:numPr>
          <w:ilvl w:val="0"/>
          <w:numId w:val="23"/>
        </w:numPr>
        <w:ind w:firstLine="65"/>
        <w:jc w:val="both"/>
        <w:rPr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К</w:t>
      </w:r>
      <w:r w:rsidR="00B92758" w:rsidRPr="00EC4099">
        <w:rPr>
          <w:bCs/>
          <w:sz w:val="24"/>
          <w:szCs w:val="24"/>
        </w:rPr>
        <w:t xml:space="preserve">онтрольно-счетная палата Суражского муниципального района предлагает </w:t>
      </w:r>
      <w:proofErr w:type="spellStart"/>
      <w:r w:rsidR="00DF7A51" w:rsidRPr="00EC4099">
        <w:rPr>
          <w:bCs/>
          <w:sz w:val="24"/>
          <w:szCs w:val="24"/>
        </w:rPr>
        <w:t>Нивнянскому</w:t>
      </w:r>
      <w:proofErr w:type="spellEnd"/>
      <w:r w:rsidR="00B92758" w:rsidRPr="00EC4099">
        <w:rPr>
          <w:bCs/>
          <w:sz w:val="24"/>
          <w:szCs w:val="24"/>
        </w:rPr>
        <w:t xml:space="preserve"> сельскому Совету народных  депутатов проект </w:t>
      </w:r>
      <w:r w:rsidR="00307911" w:rsidRPr="00EC4099">
        <w:rPr>
          <w:bCs/>
          <w:sz w:val="24"/>
          <w:szCs w:val="24"/>
        </w:rPr>
        <w:t>Р</w:t>
      </w:r>
      <w:r w:rsidR="00B92758" w:rsidRPr="00EC4099">
        <w:rPr>
          <w:bCs/>
          <w:sz w:val="24"/>
          <w:szCs w:val="24"/>
        </w:rPr>
        <w:t xml:space="preserve">ешения </w:t>
      </w:r>
      <w:r w:rsidR="00A949F1" w:rsidRPr="00EC4099">
        <w:rPr>
          <w:bCs/>
          <w:sz w:val="24"/>
          <w:szCs w:val="24"/>
        </w:rPr>
        <w:t xml:space="preserve">«О бюджете </w:t>
      </w:r>
      <w:proofErr w:type="spellStart"/>
      <w:r w:rsidR="00A949F1" w:rsidRPr="00EC4099">
        <w:rPr>
          <w:bCs/>
          <w:sz w:val="24"/>
          <w:szCs w:val="24"/>
        </w:rPr>
        <w:t>Нивнянского</w:t>
      </w:r>
      <w:proofErr w:type="spellEnd"/>
      <w:r w:rsidR="00A949F1" w:rsidRPr="00EC4099">
        <w:rPr>
          <w:bCs/>
          <w:sz w:val="24"/>
          <w:szCs w:val="24"/>
        </w:rPr>
        <w:t xml:space="preserve"> сельского поселения Суражского муниципального района Брянской области </w:t>
      </w:r>
      <w:r w:rsidR="00BD3688">
        <w:rPr>
          <w:bCs/>
          <w:sz w:val="24"/>
          <w:szCs w:val="24"/>
        </w:rPr>
        <w:t>на 2025 год и на плановый период 2026 и 2027 годов</w:t>
      </w:r>
      <w:r w:rsidR="00A949F1" w:rsidRPr="00EC4099">
        <w:rPr>
          <w:bCs/>
          <w:sz w:val="24"/>
          <w:szCs w:val="24"/>
        </w:rPr>
        <w:t xml:space="preserve">» </w:t>
      </w:r>
      <w:r w:rsidR="00307911" w:rsidRPr="00EC4099">
        <w:rPr>
          <w:sz w:val="24"/>
          <w:szCs w:val="24"/>
        </w:rPr>
        <w:t xml:space="preserve"> </w:t>
      </w:r>
      <w:r w:rsidR="00AF4E1F" w:rsidRPr="00EC4099">
        <w:rPr>
          <w:sz w:val="24"/>
          <w:szCs w:val="24"/>
        </w:rPr>
        <w:t>к рассмотрению</w:t>
      </w:r>
      <w:r w:rsidR="00EC4099">
        <w:rPr>
          <w:sz w:val="24"/>
          <w:szCs w:val="24"/>
        </w:rPr>
        <w:t xml:space="preserve"> после приведения в соответствие</w:t>
      </w:r>
      <w:r w:rsidR="00CC0915" w:rsidRPr="00EC4099">
        <w:rPr>
          <w:sz w:val="24"/>
          <w:szCs w:val="24"/>
        </w:rPr>
        <w:t>.</w:t>
      </w:r>
    </w:p>
    <w:p w:rsidR="00B92758" w:rsidRPr="00B92758" w:rsidRDefault="00B92758" w:rsidP="000B340E">
      <w:pPr>
        <w:tabs>
          <w:tab w:val="left" w:pos="801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75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0B340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FA38F2" w:rsidRPr="001B6A93" w:rsidRDefault="00FA38F2" w:rsidP="00FA3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93">
        <w:rPr>
          <w:rFonts w:ascii="Times New Roman" w:eastAsia="Times New Roman" w:hAnsi="Times New Roman" w:cs="Times New Roman"/>
          <w:bCs/>
          <w:sz w:val="24"/>
          <w:szCs w:val="24"/>
        </w:rPr>
        <w:t>Председатель</w:t>
      </w:r>
    </w:p>
    <w:p w:rsidR="00FA38F2" w:rsidRPr="001B6A93" w:rsidRDefault="00FA38F2" w:rsidP="00FA3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93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Контрольно-счетной палаты</w:t>
      </w:r>
    </w:p>
    <w:p w:rsidR="00B92758" w:rsidRPr="001B6A93" w:rsidRDefault="00FA38F2" w:rsidP="0054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93">
        <w:rPr>
          <w:rFonts w:ascii="Times New Roman" w:eastAsia="Times New Roman" w:hAnsi="Times New Roman" w:cs="Times New Roman"/>
          <w:bCs/>
          <w:sz w:val="24"/>
          <w:szCs w:val="24"/>
        </w:rPr>
        <w:t>Суражского муниципального района</w:t>
      </w:r>
      <w:r w:rsidRPr="001B6A93">
        <w:rPr>
          <w:rFonts w:ascii="Times New Roman" w:eastAsia="Times New Roman" w:hAnsi="Times New Roman" w:cs="Times New Roman"/>
          <w:sz w:val="24"/>
          <w:szCs w:val="24"/>
        </w:rPr>
        <w:t>             </w:t>
      </w:r>
      <w:r w:rsidR="001B6A9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B6A9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            Н. В. Жидкова</w:t>
      </w:r>
      <w:r w:rsidRPr="001B6A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sectPr w:rsidR="00B92758" w:rsidRPr="001B6A93" w:rsidSect="00146461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51" w:rsidRDefault="00D43351" w:rsidP="001262B1">
      <w:pPr>
        <w:spacing w:after="0" w:line="240" w:lineRule="auto"/>
      </w:pPr>
      <w:r>
        <w:separator/>
      </w:r>
    </w:p>
  </w:endnote>
  <w:endnote w:type="continuationSeparator" w:id="0">
    <w:p w:rsidR="00D43351" w:rsidRDefault="00D43351" w:rsidP="0012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51" w:rsidRDefault="00D43351" w:rsidP="001262B1">
      <w:pPr>
        <w:spacing w:after="0" w:line="240" w:lineRule="auto"/>
      </w:pPr>
      <w:r>
        <w:separator/>
      </w:r>
    </w:p>
  </w:footnote>
  <w:footnote w:type="continuationSeparator" w:id="0">
    <w:p w:rsidR="00D43351" w:rsidRDefault="00D43351" w:rsidP="00126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164"/>
    <w:multiLevelType w:val="multilevel"/>
    <w:tmpl w:val="BDF8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565D9"/>
    <w:multiLevelType w:val="hybridMultilevel"/>
    <w:tmpl w:val="25A2FD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60665A"/>
    <w:multiLevelType w:val="multilevel"/>
    <w:tmpl w:val="B8F2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5163F"/>
    <w:multiLevelType w:val="multilevel"/>
    <w:tmpl w:val="4C82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C36FA"/>
    <w:multiLevelType w:val="multilevel"/>
    <w:tmpl w:val="893E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E7261"/>
    <w:multiLevelType w:val="multilevel"/>
    <w:tmpl w:val="9B7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E4862"/>
    <w:multiLevelType w:val="multilevel"/>
    <w:tmpl w:val="3D24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05A2F"/>
    <w:multiLevelType w:val="multilevel"/>
    <w:tmpl w:val="21B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FE1EEB"/>
    <w:multiLevelType w:val="hybridMultilevel"/>
    <w:tmpl w:val="7DCC6A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A4B6D"/>
    <w:multiLevelType w:val="multilevel"/>
    <w:tmpl w:val="D426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AB22D1"/>
    <w:multiLevelType w:val="hybridMultilevel"/>
    <w:tmpl w:val="89DC3B40"/>
    <w:lvl w:ilvl="0" w:tplc="897000DE">
      <w:start w:val="1"/>
      <w:numFmt w:val="decimalZero"/>
      <w:lvlText w:val="%1-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047323"/>
    <w:multiLevelType w:val="multilevel"/>
    <w:tmpl w:val="CCB0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2A5F05"/>
    <w:multiLevelType w:val="hybridMultilevel"/>
    <w:tmpl w:val="0D1E8DD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C34EBE"/>
    <w:multiLevelType w:val="hybridMultilevel"/>
    <w:tmpl w:val="1E3072B4"/>
    <w:lvl w:ilvl="0" w:tplc="84426D6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D327C9"/>
    <w:multiLevelType w:val="hybridMultilevel"/>
    <w:tmpl w:val="C2D4DFC8"/>
    <w:lvl w:ilvl="0" w:tplc="84426D6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23662FA"/>
    <w:multiLevelType w:val="multilevel"/>
    <w:tmpl w:val="AC94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EF05F4"/>
    <w:multiLevelType w:val="multilevel"/>
    <w:tmpl w:val="1E1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B54BB7"/>
    <w:multiLevelType w:val="multilevel"/>
    <w:tmpl w:val="050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FA3A29"/>
    <w:multiLevelType w:val="multilevel"/>
    <w:tmpl w:val="CB3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DC276F"/>
    <w:multiLevelType w:val="multilevel"/>
    <w:tmpl w:val="3008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951224"/>
    <w:multiLevelType w:val="hybridMultilevel"/>
    <w:tmpl w:val="5F10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C5DF2"/>
    <w:multiLevelType w:val="multilevel"/>
    <w:tmpl w:val="D32E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355070"/>
    <w:multiLevelType w:val="multilevel"/>
    <w:tmpl w:val="5FF2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47E5D"/>
    <w:multiLevelType w:val="hybridMultilevel"/>
    <w:tmpl w:val="336051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23"/>
  </w:num>
  <w:num w:numId="5">
    <w:abstractNumId w:val="12"/>
  </w:num>
  <w:num w:numId="6">
    <w:abstractNumId w:val="2"/>
  </w:num>
  <w:num w:numId="7">
    <w:abstractNumId w:val="4"/>
  </w:num>
  <w:num w:numId="8">
    <w:abstractNumId w:val="0"/>
  </w:num>
  <w:num w:numId="9">
    <w:abstractNumId w:val="18"/>
  </w:num>
  <w:num w:numId="10">
    <w:abstractNumId w:val="5"/>
  </w:num>
  <w:num w:numId="11">
    <w:abstractNumId w:val="16"/>
  </w:num>
  <w:num w:numId="12">
    <w:abstractNumId w:val="17"/>
  </w:num>
  <w:num w:numId="13">
    <w:abstractNumId w:val="7"/>
  </w:num>
  <w:num w:numId="14">
    <w:abstractNumId w:val="6"/>
  </w:num>
  <w:num w:numId="15">
    <w:abstractNumId w:val="22"/>
  </w:num>
  <w:num w:numId="16">
    <w:abstractNumId w:val="9"/>
  </w:num>
  <w:num w:numId="17">
    <w:abstractNumId w:val="15"/>
  </w:num>
  <w:num w:numId="18">
    <w:abstractNumId w:val="21"/>
  </w:num>
  <w:num w:numId="19">
    <w:abstractNumId w:val="11"/>
  </w:num>
  <w:num w:numId="20">
    <w:abstractNumId w:val="3"/>
  </w:num>
  <w:num w:numId="21">
    <w:abstractNumId w:val="19"/>
  </w:num>
  <w:num w:numId="22">
    <w:abstractNumId w:val="20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2758"/>
    <w:rsid w:val="00001F81"/>
    <w:rsid w:val="00003EEB"/>
    <w:rsid w:val="00005AA7"/>
    <w:rsid w:val="0000700C"/>
    <w:rsid w:val="0000720E"/>
    <w:rsid w:val="000107FD"/>
    <w:rsid w:val="00012EED"/>
    <w:rsid w:val="0001575C"/>
    <w:rsid w:val="000202B0"/>
    <w:rsid w:val="00020546"/>
    <w:rsid w:val="00021EDF"/>
    <w:rsid w:val="00024E72"/>
    <w:rsid w:val="000310B9"/>
    <w:rsid w:val="00036087"/>
    <w:rsid w:val="00037B05"/>
    <w:rsid w:val="000420F1"/>
    <w:rsid w:val="00045755"/>
    <w:rsid w:val="00046A63"/>
    <w:rsid w:val="00050AC2"/>
    <w:rsid w:val="00052878"/>
    <w:rsid w:val="00062494"/>
    <w:rsid w:val="00063A30"/>
    <w:rsid w:val="000641B7"/>
    <w:rsid w:val="00064E09"/>
    <w:rsid w:val="00066A4E"/>
    <w:rsid w:val="0006765E"/>
    <w:rsid w:val="00067ABB"/>
    <w:rsid w:val="0007022C"/>
    <w:rsid w:val="000702C1"/>
    <w:rsid w:val="00070AB7"/>
    <w:rsid w:val="0007108D"/>
    <w:rsid w:val="00073A50"/>
    <w:rsid w:val="00073D36"/>
    <w:rsid w:val="0007425E"/>
    <w:rsid w:val="000766D6"/>
    <w:rsid w:val="00077E8C"/>
    <w:rsid w:val="00080355"/>
    <w:rsid w:val="00080EE4"/>
    <w:rsid w:val="00085624"/>
    <w:rsid w:val="000954B3"/>
    <w:rsid w:val="00096859"/>
    <w:rsid w:val="000976C9"/>
    <w:rsid w:val="00097B9A"/>
    <w:rsid w:val="000A2CEB"/>
    <w:rsid w:val="000A7F00"/>
    <w:rsid w:val="000B1411"/>
    <w:rsid w:val="000B1969"/>
    <w:rsid w:val="000B340E"/>
    <w:rsid w:val="000B4D87"/>
    <w:rsid w:val="000B637A"/>
    <w:rsid w:val="000C0607"/>
    <w:rsid w:val="000C16CC"/>
    <w:rsid w:val="000C23DB"/>
    <w:rsid w:val="000C2DF6"/>
    <w:rsid w:val="000C4E50"/>
    <w:rsid w:val="000C5AE3"/>
    <w:rsid w:val="000C5F9D"/>
    <w:rsid w:val="000C67D4"/>
    <w:rsid w:val="000C7435"/>
    <w:rsid w:val="000D310F"/>
    <w:rsid w:val="000D3D0E"/>
    <w:rsid w:val="000D3FAC"/>
    <w:rsid w:val="000D7C4E"/>
    <w:rsid w:val="000E04FB"/>
    <w:rsid w:val="000E0BCE"/>
    <w:rsid w:val="000E2892"/>
    <w:rsid w:val="000E3BC5"/>
    <w:rsid w:val="000E43F8"/>
    <w:rsid w:val="000F1A78"/>
    <w:rsid w:val="000F5163"/>
    <w:rsid w:val="000F7FEB"/>
    <w:rsid w:val="001004E3"/>
    <w:rsid w:val="00104194"/>
    <w:rsid w:val="00111D04"/>
    <w:rsid w:val="001120E8"/>
    <w:rsid w:val="001175D7"/>
    <w:rsid w:val="001203AE"/>
    <w:rsid w:val="001213B0"/>
    <w:rsid w:val="001223F6"/>
    <w:rsid w:val="00122CE5"/>
    <w:rsid w:val="0012370B"/>
    <w:rsid w:val="00124112"/>
    <w:rsid w:val="00124600"/>
    <w:rsid w:val="001253C2"/>
    <w:rsid w:val="001262B1"/>
    <w:rsid w:val="0013643D"/>
    <w:rsid w:val="00141C40"/>
    <w:rsid w:val="00144A12"/>
    <w:rsid w:val="00146461"/>
    <w:rsid w:val="00146654"/>
    <w:rsid w:val="001472CE"/>
    <w:rsid w:val="0015137E"/>
    <w:rsid w:val="00153410"/>
    <w:rsid w:val="00153BFF"/>
    <w:rsid w:val="00153E07"/>
    <w:rsid w:val="001565F7"/>
    <w:rsid w:val="00160802"/>
    <w:rsid w:val="00160946"/>
    <w:rsid w:val="00161BBB"/>
    <w:rsid w:val="0016392E"/>
    <w:rsid w:val="00175A77"/>
    <w:rsid w:val="00175D26"/>
    <w:rsid w:val="00181D40"/>
    <w:rsid w:val="001844DB"/>
    <w:rsid w:val="00185601"/>
    <w:rsid w:val="00186559"/>
    <w:rsid w:val="00186C15"/>
    <w:rsid w:val="0019003E"/>
    <w:rsid w:val="00190C7D"/>
    <w:rsid w:val="00192A00"/>
    <w:rsid w:val="001960A6"/>
    <w:rsid w:val="00196199"/>
    <w:rsid w:val="001A4BFD"/>
    <w:rsid w:val="001A5B3D"/>
    <w:rsid w:val="001A78E3"/>
    <w:rsid w:val="001A7D01"/>
    <w:rsid w:val="001B21F9"/>
    <w:rsid w:val="001B4C7D"/>
    <w:rsid w:val="001B6A93"/>
    <w:rsid w:val="001B78DE"/>
    <w:rsid w:val="001C1D8E"/>
    <w:rsid w:val="001C2125"/>
    <w:rsid w:val="001C2499"/>
    <w:rsid w:val="001C610D"/>
    <w:rsid w:val="001C68D9"/>
    <w:rsid w:val="001C7A05"/>
    <w:rsid w:val="001D1116"/>
    <w:rsid w:val="001D6A6A"/>
    <w:rsid w:val="001D7AA7"/>
    <w:rsid w:val="001E0EFA"/>
    <w:rsid w:val="001E3A02"/>
    <w:rsid w:val="001E3EEB"/>
    <w:rsid w:val="001E4449"/>
    <w:rsid w:val="001F0B6F"/>
    <w:rsid w:val="001F13A6"/>
    <w:rsid w:val="001F301E"/>
    <w:rsid w:val="001F3258"/>
    <w:rsid w:val="001F4DBF"/>
    <w:rsid w:val="001F6BA8"/>
    <w:rsid w:val="001F796F"/>
    <w:rsid w:val="00204D2C"/>
    <w:rsid w:val="00205028"/>
    <w:rsid w:val="002056F8"/>
    <w:rsid w:val="002116F3"/>
    <w:rsid w:val="00212B17"/>
    <w:rsid w:val="0022063A"/>
    <w:rsid w:val="00220C2B"/>
    <w:rsid w:val="00227F0A"/>
    <w:rsid w:val="0023040D"/>
    <w:rsid w:val="0023328D"/>
    <w:rsid w:val="00233D30"/>
    <w:rsid w:val="00234164"/>
    <w:rsid w:val="00234DB3"/>
    <w:rsid w:val="0024017B"/>
    <w:rsid w:val="002402D3"/>
    <w:rsid w:val="00240BAC"/>
    <w:rsid w:val="00240BBF"/>
    <w:rsid w:val="00241B94"/>
    <w:rsid w:val="0024202F"/>
    <w:rsid w:val="0024294F"/>
    <w:rsid w:val="00242DC4"/>
    <w:rsid w:val="002440F8"/>
    <w:rsid w:val="00244CCD"/>
    <w:rsid w:val="00250349"/>
    <w:rsid w:val="002508CA"/>
    <w:rsid w:val="00250CF3"/>
    <w:rsid w:val="0025399D"/>
    <w:rsid w:val="00254578"/>
    <w:rsid w:val="002600C7"/>
    <w:rsid w:val="00260331"/>
    <w:rsid w:val="00263C94"/>
    <w:rsid w:val="00271164"/>
    <w:rsid w:val="0027248F"/>
    <w:rsid w:val="00274320"/>
    <w:rsid w:val="002748B3"/>
    <w:rsid w:val="00274C90"/>
    <w:rsid w:val="00275D51"/>
    <w:rsid w:val="00276CD3"/>
    <w:rsid w:val="00281997"/>
    <w:rsid w:val="00282B93"/>
    <w:rsid w:val="002833FF"/>
    <w:rsid w:val="00283783"/>
    <w:rsid w:val="00283F0F"/>
    <w:rsid w:val="0028705B"/>
    <w:rsid w:val="00287BE0"/>
    <w:rsid w:val="0029363D"/>
    <w:rsid w:val="00294FEB"/>
    <w:rsid w:val="002956B4"/>
    <w:rsid w:val="00295918"/>
    <w:rsid w:val="002A04A1"/>
    <w:rsid w:val="002A04A8"/>
    <w:rsid w:val="002A158E"/>
    <w:rsid w:val="002A2728"/>
    <w:rsid w:val="002A398C"/>
    <w:rsid w:val="002A5876"/>
    <w:rsid w:val="002A689A"/>
    <w:rsid w:val="002B13FE"/>
    <w:rsid w:val="002B494D"/>
    <w:rsid w:val="002B5C6D"/>
    <w:rsid w:val="002B7003"/>
    <w:rsid w:val="002B70DB"/>
    <w:rsid w:val="002C367E"/>
    <w:rsid w:val="002C5827"/>
    <w:rsid w:val="002C68D4"/>
    <w:rsid w:val="002C6C8F"/>
    <w:rsid w:val="002D1730"/>
    <w:rsid w:val="002D1CAE"/>
    <w:rsid w:val="002D20D8"/>
    <w:rsid w:val="002D4CA9"/>
    <w:rsid w:val="002E1341"/>
    <w:rsid w:val="002E2311"/>
    <w:rsid w:val="002E4D8E"/>
    <w:rsid w:val="002E4F67"/>
    <w:rsid w:val="002E507D"/>
    <w:rsid w:val="002F172A"/>
    <w:rsid w:val="002F334E"/>
    <w:rsid w:val="002F444A"/>
    <w:rsid w:val="002F6251"/>
    <w:rsid w:val="002F7890"/>
    <w:rsid w:val="003000A8"/>
    <w:rsid w:val="003014D8"/>
    <w:rsid w:val="00302943"/>
    <w:rsid w:val="003037E1"/>
    <w:rsid w:val="00304924"/>
    <w:rsid w:val="00307017"/>
    <w:rsid w:val="00307911"/>
    <w:rsid w:val="003115DD"/>
    <w:rsid w:val="00317D10"/>
    <w:rsid w:val="00317D69"/>
    <w:rsid w:val="00321B0C"/>
    <w:rsid w:val="00321EC7"/>
    <w:rsid w:val="00324DD1"/>
    <w:rsid w:val="00330B2D"/>
    <w:rsid w:val="00331F81"/>
    <w:rsid w:val="00332A28"/>
    <w:rsid w:val="00340193"/>
    <w:rsid w:val="003405E0"/>
    <w:rsid w:val="00343C47"/>
    <w:rsid w:val="00346C4B"/>
    <w:rsid w:val="00351C3E"/>
    <w:rsid w:val="0035227E"/>
    <w:rsid w:val="003525FD"/>
    <w:rsid w:val="00353B2B"/>
    <w:rsid w:val="003550EA"/>
    <w:rsid w:val="00355EAB"/>
    <w:rsid w:val="00357C73"/>
    <w:rsid w:val="00362A92"/>
    <w:rsid w:val="00363084"/>
    <w:rsid w:val="003651EC"/>
    <w:rsid w:val="00365710"/>
    <w:rsid w:val="003668EB"/>
    <w:rsid w:val="00372772"/>
    <w:rsid w:val="00376652"/>
    <w:rsid w:val="00380968"/>
    <w:rsid w:val="00381490"/>
    <w:rsid w:val="00381B80"/>
    <w:rsid w:val="00383EBF"/>
    <w:rsid w:val="003843EE"/>
    <w:rsid w:val="00384F88"/>
    <w:rsid w:val="00385CD5"/>
    <w:rsid w:val="00387849"/>
    <w:rsid w:val="00392B86"/>
    <w:rsid w:val="00393649"/>
    <w:rsid w:val="00393A93"/>
    <w:rsid w:val="003A080E"/>
    <w:rsid w:val="003A0FD0"/>
    <w:rsid w:val="003A1554"/>
    <w:rsid w:val="003A33C7"/>
    <w:rsid w:val="003A4DEA"/>
    <w:rsid w:val="003A5B9C"/>
    <w:rsid w:val="003B4185"/>
    <w:rsid w:val="003B7E74"/>
    <w:rsid w:val="003C32E9"/>
    <w:rsid w:val="003C67BF"/>
    <w:rsid w:val="003C7398"/>
    <w:rsid w:val="003E47DA"/>
    <w:rsid w:val="003E4912"/>
    <w:rsid w:val="003E689E"/>
    <w:rsid w:val="003F1144"/>
    <w:rsid w:val="003F31A7"/>
    <w:rsid w:val="003F406E"/>
    <w:rsid w:val="003F69BC"/>
    <w:rsid w:val="003F6AAF"/>
    <w:rsid w:val="00400210"/>
    <w:rsid w:val="00400F18"/>
    <w:rsid w:val="00402B91"/>
    <w:rsid w:val="004048F4"/>
    <w:rsid w:val="00410091"/>
    <w:rsid w:val="004133FC"/>
    <w:rsid w:val="00413819"/>
    <w:rsid w:val="004167EB"/>
    <w:rsid w:val="00420511"/>
    <w:rsid w:val="004209CC"/>
    <w:rsid w:val="0042167C"/>
    <w:rsid w:val="0042298D"/>
    <w:rsid w:val="00423157"/>
    <w:rsid w:val="004268CE"/>
    <w:rsid w:val="004305F5"/>
    <w:rsid w:val="00431BE7"/>
    <w:rsid w:val="004357CF"/>
    <w:rsid w:val="004422E5"/>
    <w:rsid w:val="004428AA"/>
    <w:rsid w:val="00446461"/>
    <w:rsid w:val="00446883"/>
    <w:rsid w:val="0045176A"/>
    <w:rsid w:val="00452E4A"/>
    <w:rsid w:val="00456DD7"/>
    <w:rsid w:val="00457499"/>
    <w:rsid w:val="00462A13"/>
    <w:rsid w:val="004631BB"/>
    <w:rsid w:val="00465637"/>
    <w:rsid w:val="00471DBF"/>
    <w:rsid w:val="00475D85"/>
    <w:rsid w:val="00483603"/>
    <w:rsid w:val="00483A38"/>
    <w:rsid w:val="004852CC"/>
    <w:rsid w:val="00492BDA"/>
    <w:rsid w:val="00493D8C"/>
    <w:rsid w:val="004958B8"/>
    <w:rsid w:val="00495BA8"/>
    <w:rsid w:val="004964D8"/>
    <w:rsid w:val="004965C0"/>
    <w:rsid w:val="00497892"/>
    <w:rsid w:val="004A1448"/>
    <w:rsid w:val="004A7452"/>
    <w:rsid w:val="004B7626"/>
    <w:rsid w:val="004C2EB7"/>
    <w:rsid w:val="004C39CB"/>
    <w:rsid w:val="004C549E"/>
    <w:rsid w:val="004D22B2"/>
    <w:rsid w:val="004D25C3"/>
    <w:rsid w:val="004D28CC"/>
    <w:rsid w:val="004D4836"/>
    <w:rsid w:val="004D5AC2"/>
    <w:rsid w:val="004E4CE6"/>
    <w:rsid w:val="004E5E1E"/>
    <w:rsid w:val="004E626F"/>
    <w:rsid w:val="004E713F"/>
    <w:rsid w:val="004F33CD"/>
    <w:rsid w:val="004F5FEA"/>
    <w:rsid w:val="005009F0"/>
    <w:rsid w:val="005015EE"/>
    <w:rsid w:val="00502310"/>
    <w:rsid w:val="0050237F"/>
    <w:rsid w:val="00505F9C"/>
    <w:rsid w:val="0051058E"/>
    <w:rsid w:val="00510A09"/>
    <w:rsid w:val="005153AD"/>
    <w:rsid w:val="00515CA2"/>
    <w:rsid w:val="0051633F"/>
    <w:rsid w:val="00521445"/>
    <w:rsid w:val="00521575"/>
    <w:rsid w:val="00521E54"/>
    <w:rsid w:val="005228B7"/>
    <w:rsid w:val="00522E55"/>
    <w:rsid w:val="00530135"/>
    <w:rsid w:val="00532AE5"/>
    <w:rsid w:val="00532B5C"/>
    <w:rsid w:val="00533093"/>
    <w:rsid w:val="005356D2"/>
    <w:rsid w:val="00536AEA"/>
    <w:rsid w:val="00536D53"/>
    <w:rsid w:val="005412BF"/>
    <w:rsid w:val="0054151B"/>
    <w:rsid w:val="00541AC7"/>
    <w:rsid w:val="0054249A"/>
    <w:rsid w:val="00542AEC"/>
    <w:rsid w:val="00545225"/>
    <w:rsid w:val="0054622D"/>
    <w:rsid w:val="00546E23"/>
    <w:rsid w:val="00550D92"/>
    <w:rsid w:val="00550F08"/>
    <w:rsid w:val="00550F2F"/>
    <w:rsid w:val="00557D35"/>
    <w:rsid w:val="00557E9F"/>
    <w:rsid w:val="00560CAF"/>
    <w:rsid w:val="00563340"/>
    <w:rsid w:val="00565FF9"/>
    <w:rsid w:val="00572085"/>
    <w:rsid w:val="0057233D"/>
    <w:rsid w:val="00577CB5"/>
    <w:rsid w:val="005818E3"/>
    <w:rsid w:val="00583032"/>
    <w:rsid w:val="00584252"/>
    <w:rsid w:val="00584376"/>
    <w:rsid w:val="00587870"/>
    <w:rsid w:val="005878B5"/>
    <w:rsid w:val="00592BC9"/>
    <w:rsid w:val="00592EC7"/>
    <w:rsid w:val="00597ED0"/>
    <w:rsid w:val="005A057D"/>
    <w:rsid w:val="005A0C3F"/>
    <w:rsid w:val="005A4765"/>
    <w:rsid w:val="005A4828"/>
    <w:rsid w:val="005A4EC7"/>
    <w:rsid w:val="005A50F7"/>
    <w:rsid w:val="005B0523"/>
    <w:rsid w:val="005B641A"/>
    <w:rsid w:val="005C0A99"/>
    <w:rsid w:val="005C1A65"/>
    <w:rsid w:val="005C2761"/>
    <w:rsid w:val="005C372F"/>
    <w:rsid w:val="005C50F0"/>
    <w:rsid w:val="005C5382"/>
    <w:rsid w:val="005C69F3"/>
    <w:rsid w:val="005D0A7B"/>
    <w:rsid w:val="005D0EAE"/>
    <w:rsid w:val="005D1372"/>
    <w:rsid w:val="005D2975"/>
    <w:rsid w:val="005D2F8F"/>
    <w:rsid w:val="005D3307"/>
    <w:rsid w:val="005D4C62"/>
    <w:rsid w:val="005D5E19"/>
    <w:rsid w:val="005E2BD7"/>
    <w:rsid w:val="005E4C9C"/>
    <w:rsid w:val="005F009E"/>
    <w:rsid w:val="005F766E"/>
    <w:rsid w:val="006004D8"/>
    <w:rsid w:val="00601B2C"/>
    <w:rsid w:val="006044EA"/>
    <w:rsid w:val="00604536"/>
    <w:rsid w:val="00605C5F"/>
    <w:rsid w:val="006075E5"/>
    <w:rsid w:val="00610DD5"/>
    <w:rsid w:val="00611054"/>
    <w:rsid w:val="00620D92"/>
    <w:rsid w:val="00621F99"/>
    <w:rsid w:val="0062219C"/>
    <w:rsid w:val="00624220"/>
    <w:rsid w:val="006245D2"/>
    <w:rsid w:val="0062512A"/>
    <w:rsid w:val="0062581D"/>
    <w:rsid w:val="00626632"/>
    <w:rsid w:val="0062761F"/>
    <w:rsid w:val="00630872"/>
    <w:rsid w:val="006329A1"/>
    <w:rsid w:val="00632F94"/>
    <w:rsid w:val="00635213"/>
    <w:rsid w:val="00635E21"/>
    <w:rsid w:val="00641A18"/>
    <w:rsid w:val="0064204A"/>
    <w:rsid w:val="0064467B"/>
    <w:rsid w:val="006451F4"/>
    <w:rsid w:val="00654674"/>
    <w:rsid w:val="00654F30"/>
    <w:rsid w:val="0065548A"/>
    <w:rsid w:val="006558D4"/>
    <w:rsid w:val="00656AE5"/>
    <w:rsid w:val="00657414"/>
    <w:rsid w:val="0065767B"/>
    <w:rsid w:val="00663565"/>
    <w:rsid w:val="00664103"/>
    <w:rsid w:val="0066451B"/>
    <w:rsid w:val="006646F5"/>
    <w:rsid w:val="00667257"/>
    <w:rsid w:val="006703C0"/>
    <w:rsid w:val="006708E7"/>
    <w:rsid w:val="00671C0C"/>
    <w:rsid w:val="00671F58"/>
    <w:rsid w:val="00674216"/>
    <w:rsid w:val="00676777"/>
    <w:rsid w:val="00683113"/>
    <w:rsid w:val="006847AA"/>
    <w:rsid w:val="00684D0D"/>
    <w:rsid w:val="00687C7C"/>
    <w:rsid w:val="00690706"/>
    <w:rsid w:val="00693AC8"/>
    <w:rsid w:val="006945AB"/>
    <w:rsid w:val="00696727"/>
    <w:rsid w:val="0069679A"/>
    <w:rsid w:val="006967CC"/>
    <w:rsid w:val="00696845"/>
    <w:rsid w:val="00697583"/>
    <w:rsid w:val="006A1440"/>
    <w:rsid w:val="006A539A"/>
    <w:rsid w:val="006B2231"/>
    <w:rsid w:val="006B3060"/>
    <w:rsid w:val="006B3790"/>
    <w:rsid w:val="006B5628"/>
    <w:rsid w:val="006C0BDC"/>
    <w:rsid w:val="006C5A2F"/>
    <w:rsid w:val="006D09A9"/>
    <w:rsid w:val="006D26D1"/>
    <w:rsid w:val="006E236C"/>
    <w:rsid w:val="006E2B67"/>
    <w:rsid w:val="006E38CA"/>
    <w:rsid w:val="006E4111"/>
    <w:rsid w:val="006E4FFF"/>
    <w:rsid w:val="006E67A3"/>
    <w:rsid w:val="006F10B5"/>
    <w:rsid w:val="006F1452"/>
    <w:rsid w:val="006F31B6"/>
    <w:rsid w:val="00707954"/>
    <w:rsid w:val="00707DD4"/>
    <w:rsid w:val="007109A4"/>
    <w:rsid w:val="00710B63"/>
    <w:rsid w:val="00710C46"/>
    <w:rsid w:val="00711364"/>
    <w:rsid w:val="00711DC1"/>
    <w:rsid w:val="00712FDC"/>
    <w:rsid w:val="00714A37"/>
    <w:rsid w:val="0071535F"/>
    <w:rsid w:val="007258C0"/>
    <w:rsid w:val="00726E03"/>
    <w:rsid w:val="007301B8"/>
    <w:rsid w:val="0073341F"/>
    <w:rsid w:val="00734DD9"/>
    <w:rsid w:val="0073511D"/>
    <w:rsid w:val="00735987"/>
    <w:rsid w:val="00737489"/>
    <w:rsid w:val="00740A9F"/>
    <w:rsid w:val="00742217"/>
    <w:rsid w:val="00743B8F"/>
    <w:rsid w:val="00744D18"/>
    <w:rsid w:val="00753661"/>
    <w:rsid w:val="00754EBF"/>
    <w:rsid w:val="007570D1"/>
    <w:rsid w:val="0075779D"/>
    <w:rsid w:val="00766529"/>
    <w:rsid w:val="00767EB2"/>
    <w:rsid w:val="007709BF"/>
    <w:rsid w:val="00773371"/>
    <w:rsid w:val="00777BD8"/>
    <w:rsid w:val="0078188E"/>
    <w:rsid w:val="007839ED"/>
    <w:rsid w:val="00786407"/>
    <w:rsid w:val="00790987"/>
    <w:rsid w:val="00794399"/>
    <w:rsid w:val="007A0BA2"/>
    <w:rsid w:val="007A10BA"/>
    <w:rsid w:val="007A12D6"/>
    <w:rsid w:val="007A58C5"/>
    <w:rsid w:val="007A6472"/>
    <w:rsid w:val="007B1849"/>
    <w:rsid w:val="007B6F00"/>
    <w:rsid w:val="007C5265"/>
    <w:rsid w:val="007C793A"/>
    <w:rsid w:val="007D0EA2"/>
    <w:rsid w:val="007D2257"/>
    <w:rsid w:val="007D22FD"/>
    <w:rsid w:val="007D2554"/>
    <w:rsid w:val="007D3158"/>
    <w:rsid w:val="007D3850"/>
    <w:rsid w:val="007D4799"/>
    <w:rsid w:val="007E05BE"/>
    <w:rsid w:val="007E1909"/>
    <w:rsid w:val="007E5A14"/>
    <w:rsid w:val="007F01B7"/>
    <w:rsid w:val="007F0514"/>
    <w:rsid w:val="007F1FC5"/>
    <w:rsid w:val="007F3437"/>
    <w:rsid w:val="007F45CC"/>
    <w:rsid w:val="007F46BB"/>
    <w:rsid w:val="007F4841"/>
    <w:rsid w:val="007F57F5"/>
    <w:rsid w:val="007F5B35"/>
    <w:rsid w:val="00801CDA"/>
    <w:rsid w:val="00804D97"/>
    <w:rsid w:val="00805723"/>
    <w:rsid w:val="00805899"/>
    <w:rsid w:val="00806163"/>
    <w:rsid w:val="00807251"/>
    <w:rsid w:val="008076A1"/>
    <w:rsid w:val="00811BB8"/>
    <w:rsid w:val="00813563"/>
    <w:rsid w:val="008135F5"/>
    <w:rsid w:val="00815981"/>
    <w:rsid w:val="0081674D"/>
    <w:rsid w:val="00816FCE"/>
    <w:rsid w:val="00820AE8"/>
    <w:rsid w:val="00820E24"/>
    <w:rsid w:val="00822ED7"/>
    <w:rsid w:val="0082426D"/>
    <w:rsid w:val="0082550B"/>
    <w:rsid w:val="00827047"/>
    <w:rsid w:val="00830C2D"/>
    <w:rsid w:val="00830DA8"/>
    <w:rsid w:val="00831A2F"/>
    <w:rsid w:val="00833796"/>
    <w:rsid w:val="00835BD9"/>
    <w:rsid w:val="00835D6B"/>
    <w:rsid w:val="008369F7"/>
    <w:rsid w:val="0084035B"/>
    <w:rsid w:val="00841B84"/>
    <w:rsid w:val="00844E03"/>
    <w:rsid w:val="00847108"/>
    <w:rsid w:val="0084768C"/>
    <w:rsid w:val="0084790C"/>
    <w:rsid w:val="00851E41"/>
    <w:rsid w:val="00854B04"/>
    <w:rsid w:val="008552F0"/>
    <w:rsid w:val="00855EC7"/>
    <w:rsid w:val="00860991"/>
    <w:rsid w:val="00862084"/>
    <w:rsid w:val="0086212F"/>
    <w:rsid w:val="00862A99"/>
    <w:rsid w:val="0086504D"/>
    <w:rsid w:val="00871614"/>
    <w:rsid w:val="00872712"/>
    <w:rsid w:val="00873329"/>
    <w:rsid w:val="00874FBB"/>
    <w:rsid w:val="008818FF"/>
    <w:rsid w:val="00883CD2"/>
    <w:rsid w:val="00884543"/>
    <w:rsid w:val="008846C8"/>
    <w:rsid w:val="00890AAC"/>
    <w:rsid w:val="00892DA0"/>
    <w:rsid w:val="00893D35"/>
    <w:rsid w:val="00895ED2"/>
    <w:rsid w:val="008971EC"/>
    <w:rsid w:val="008A14A1"/>
    <w:rsid w:val="008A2F13"/>
    <w:rsid w:val="008A2F50"/>
    <w:rsid w:val="008A36A3"/>
    <w:rsid w:val="008A70F5"/>
    <w:rsid w:val="008B1C39"/>
    <w:rsid w:val="008B29F1"/>
    <w:rsid w:val="008B3685"/>
    <w:rsid w:val="008C0A4A"/>
    <w:rsid w:val="008C22A5"/>
    <w:rsid w:val="008C35E7"/>
    <w:rsid w:val="008C5162"/>
    <w:rsid w:val="008C67D2"/>
    <w:rsid w:val="008D0F63"/>
    <w:rsid w:val="008D1B18"/>
    <w:rsid w:val="008D256E"/>
    <w:rsid w:val="008D445F"/>
    <w:rsid w:val="008E2CED"/>
    <w:rsid w:val="008E410C"/>
    <w:rsid w:val="008E43D6"/>
    <w:rsid w:val="008E60B9"/>
    <w:rsid w:val="008F1597"/>
    <w:rsid w:val="008F274F"/>
    <w:rsid w:val="008F439F"/>
    <w:rsid w:val="009007E0"/>
    <w:rsid w:val="00905BD6"/>
    <w:rsid w:val="00905D7D"/>
    <w:rsid w:val="00910DEA"/>
    <w:rsid w:val="00911B06"/>
    <w:rsid w:val="00913843"/>
    <w:rsid w:val="00920370"/>
    <w:rsid w:val="009224CD"/>
    <w:rsid w:val="00923F3F"/>
    <w:rsid w:val="00924440"/>
    <w:rsid w:val="009262EF"/>
    <w:rsid w:val="00927F29"/>
    <w:rsid w:val="00930221"/>
    <w:rsid w:val="00930B57"/>
    <w:rsid w:val="00931823"/>
    <w:rsid w:val="00933073"/>
    <w:rsid w:val="009435EB"/>
    <w:rsid w:val="00945C6B"/>
    <w:rsid w:val="0094791A"/>
    <w:rsid w:val="00952B7B"/>
    <w:rsid w:val="009531A8"/>
    <w:rsid w:val="009533CF"/>
    <w:rsid w:val="00956389"/>
    <w:rsid w:val="0095657C"/>
    <w:rsid w:val="00965118"/>
    <w:rsid w:val="00966AD4"/>
    <w:rsid w:val="00967271"/>
    <w:rsid w:val="00967C0E"/>
    <w:rsid w:val="00971C3F"/>
    <w:rsid w:val="00974F03"/>
    <w:rsid w:val="009808E0"/>
    <w:rsid w:val="009824E8"/>
    <w:rsid w:val="009826A7"/>
    <w:rsid w:val="0099276B"/>
    <w:rsid w:val="00994559"/>
    <w:rsid w:val="009961B2"/>
    <w:rsid w:val="00997246"/>
    <w:rsid w:val="009A1FDF"/>
    <w:rsid w:val="009A47F1"/>
    <w:rsid w:val="009A6EB7"/>
    <w:rsid w:val="009B5E4B"/>
    <w:rsid w:val="009C29FB"/>
    <w:rsid w:val="009C38E1"/>
    <w:rsid w:val="009D0784"/>
    <w:rsid w:val="009D133A"/>
    <w:rsid w:val="009D44B0"/>
    <w:rsid w:val="009D62C1"/>
    <w:rsid w:val="009E09F9"/>
    <w:rsid w:val="009E489D"/>
    <w:rsid w:val="009F1733"/>
    <w:rsid w:val="009F2B00"/>
    <w:rsid w:val="009F5FF6"/>
    <w:rsid w:val="009F7439"/>
    <w:rsid w:val="00A00ACB"/>
    <w:rsid w:val="00A00CA7"/>
    <w:rsid w:val="00A00FF8"/>
    <w:rsid w:val="00A065D9"/>
    <w:rsid w:val="00A066FD"/>
    <w:rsid w:val="00A0709F"/>
    <w:rsid w:val="00A07FE4"/>
    <w:rsid w:val="00A11058"/>
    <w:rsid w:val="00A215AA"/>
    <w:rsid w:val="00A23778"/>
    <w:rsid w:val="00A25C4F"/>
    <w:rsid w:val="00A30598"/>
    <w:rsid w:val="00A30796"/>
    <w:rsid w:val="00A42451"/>
    <w:rsid w:val="00A47AD6"/>
    <w:rsid w:val="00A527CD"/>
    <w:rsid w:val="00A55541"/>
    <w:rsid w:val="00A67351"/>
    <w:rsid w:val="00A73E50"/>
    <w:rsid w:val="00A77684"/>
    <w:rsid w:val="00A827C6"/>
    <w:rsid w:val="00A82A1A"/>
    <w:rsid w:val="00A872E0"/>
    <w:rsid w:val="00A87341"/>
    <w:rsid w:val="00A87763"/>
    <w:rsid w:val="00A87779"/>
    <w:rsid w:val="00A901EC"/>
    <w:rsid w:val="00A90CCA"/>
    <w:rsid w:val="00A937F6"/>
    <w:rsid w:val="00A9465F"/>
    <w:rsid w:val="00A949F1"/>
    <w:rsid w:val="00A95E2D"/>
    <w:rsid w:val="00A96DDE"/>
    <w:rsid w:val="00AA05EC"/>
    <w:rsid w:val="00AA7245"/>
    <w:rsid w:val="00AB13C4"/>
    <w:rsid w:val="00AB53B7"/>
    <w:rsid w:val="00AC1F61"/>
    <w:rsid w:val="00AC3718"/>
    <w:rsid w:val="00AC703B"/>
    <w:rsid w:val="00AD0F5B"/>
    <w:rsid w:val="00AD380F"/>
    <w:rsid w:val="00AD4A49"/>
    <w:rsid w:val="00AD4AA5"/>
    <w:rsid w:val="00AD77FB"/>
    <w:rsid w:val="00AD7CC6"/>
    <w:rsid w:val="00AE14EE"/>
    <w:rsid w:val="00AE1F81"/>
    <w:rsid w:val="00AE316A"/>
    <w:rsid w:val="00AE4564"/>
    <w:rsid w:val="00AE51AE"/>
    <w:rsid w:val="00AE6247"/>
    <w:rsid w:val="00AE63B4"/>
    <w:rsid w:val="00AE752B"/>
    <w:rsid w:val="00AF063E"/>
    <w:rsid w:val="00AF4E1F"/>
    <w:rsid w:val="00B01593"/>
    <w:rsid w:val="00B05A34"/>
    <w:rsid w:val="00B05E61"/>
    <w:rsid w:val="00B1138D"/>
    <w:rsid w:val="00B113BF"/>
    <w:rsid w:val="00B11CCD"/>
    <w:rsid w:val="00B14B6D"/>
    <w:rsid w:val="00B17526"/>
    <w:rsid w:val="00B1799E"/>
    <w:rsid w:val="00B22D29"/>
    <w:rsid w:val="00B2339D"/>
    <w:rsid w:val="00B23924"/>
    <w:rsid w:val="00B23CC3"/>
    <w:rsid w:val="00B25355"/>
    <w:rsid w:val="00B32A1A"/>
    <w:rsid w:val="00B33007"/>
    <w:rsid w:val="00B334EF"/>
    <w:rsid w:val="00B369A1"/>
    <w:rsid w:val="00B36E63"/>
    <w:rsid w:val="00B41A68"/>
    <w:rsid w:val="00B42476"/>
    <w:rsid w:val="00B446D2"/>
    <w:rsid w:val="00B465F5"/>
    <w:rsid w:val="00B46940"/>
    <w:rsid w:val="00B5046C"/>
    <w:rsid w:val="00B5072B"/>
    <w:rsid w:val="00B53472"/>
    <w:rsid w:val="00B5384A"/>
    <w:rsid w:val="00B54AFF"/>
    <w:rsid w:val="00B56FAB"/>
    <w:rsid w:val="00B60BC4"/>
    <w:rsid w:val="00B62A81"/>
    <w:rsid w:val="00B630C9"/>
    <w:rsid w:val="00B633AB"/>
    <w:rsid w:val="00B749B6"/>
    <w:rsid w:val="00B74AD3"/>
    <w:rsid w:val="00B80480"/>
    <w:rsid w:val="00B84567"/>
    <w:rsid w:val="00B84F9F"/>
    <w:rsid w:val="00B915BB"/>
    <w:rsid w:val="00B92758"/>
    <w:rsid w:val="00B93442"/>
    <w:rsid w:val="00BA3670"/>
    <w:rsid w:val="00BA5E3D"/>
    <w:rsid w:val="00BA72A8"/>
    <w:rsid w:val="00BB02F9"/>
    <w:rsid w:val="00BB162F"/>
    <w:rsid w:val="00BB53C7"/>
    <w:rsid w:val="00BB627B"/>
    <w:rsid w:val="00BB74B9"/>
    <w:rsid w:val="00BD1884"/>
    <w:rsid w:val="00BD3688"/>
    <w:rsid w:val="00BD5918"/>
    <w:rsid w:val="00BD69F8"/>
    <w:rsid w:val="00BD7E22"/>
    <w:rsid w:val="00BE1C01"/>
    <w:rsid w:val="00BE21F4"/>
    <w:rsid w:val="00BE3E1B"/>
    <w:rsid w:val="00BF3C32"/>
    <w:rsid w:val="00BF3D53"/>
    <w:rsid w:val="00BF425E"/>
    <w:rsid w:val="00BF45D8"/>
    <w:rsid w:val="00BF53B3"/>
    <w:rsid w:val="00BF5F62"/>
    <w:rsid w:val="00BF6A39"/>
    <w:rsid w:val="00C01F7F"/>
    <w:rsid w:val="00C02BE1"/>
    <w:rsid w:val="00C02E48"/>
    <w:rsid w:val="00C03FCE"/>
    <w:rsid w:val="00C064BA"/>
    <w:rsid w:val="00C16248"/>
    <w:rsid w:val="00C2064D"/>
    <w:rsid w:val="00C2068C"/>
    <w:rsid w:val="00C24CA0"/>
    <w:rsid w:val="00C26992"/>
    <w:rsid w:val="00C272BB"/>
    <w:rsid w:val="00C33A3E"/>
    <w:rsid w:val="00C41D2B"/>
    <w:rsid w:val="00C4206F"/>
    <w:rsid w:val="00C43FBF"/>
    <w:rsid w:val="00C45500"/>
    <w:rsid w:val="00C47306"/>
    <w:rsid w:val="00C63D65"/>
    <w:rsid w:val="00C6526D"/>
    <w:rsid w:val="00C66904"/>
    <w:rsid w:val="00C70E7F"/>
    <w:rsid w:val="00C70EB7"/>
    <w:rsid w:val="00C7635A"/>
    <w:rsid w:val="00C768D8"/>
    <w:rsid w:val="00C809BE"/>
    <w:rsid w:val="00C80E08"/>
    <w:rsid w:val="00C819A9"/>
    <w:rsid w:val="00C84B76"/>
    <w:rsid w:val="00C8790A"/>
    <w:rsid w:val="00C94619"/>
    <w:rsid w:val="00C94F5C"/>
    <w:rsid w:val="00C956BC"/>
    <w:rsid w:val="00C95DFB"/>
    <w:rsid w:val="00CA0718"/>
    <w:rsid w:val="00CA3F07"/>
    <w:rsid w:val="00CA45B3"/>
    <w:rsid w:val="00CA6270"/>
    <w:rsid w:val="00CA6F67"/>
    <w:rsid w:val="00CA7708"/>
    <w:rsid w:val="00CB3D1E"/>
    <w:rsid w:val="00CB3DCB"/>
    <w:rsid w:val="00CB7409"/>
    <w:rsid w:val="00CB7E49"/>
    <w:rsid w:val="00CC0915"/>
    <w:rsid w:val="00CC5AB7"/>
    <w:rsid w:val="00CC6628"/>
    <w:rsid w:val="00CD05D8"/>
    <w:rsid w:val="00CD42DE"/>
    <w:rsid w:val="00CE2068"/>
    <w:rsid w:val="00CE3393"/>
    <w:rsid w:val="00CE47BD"/>
    <w:rsid w:val="00CE65D0"/>
    <w:rsid w:val="00CF685F"/>
    <w:rsid w:val="00CF6E9B"/>
    <w:rsid w:val="00D000F0"/>
    <w:rsid w:val="00D00576"/>
    <w:rsid w:val="00D01D13"/>
    <w:rsid w:val="00D10445"/>
    <w:rsid w:val="00D1411E"/>
    <w:rsid w:val="00D15303"/>
    <w:rsid w:val="00D168FF"/>
    <w:rsid w:val="00D17AD1"/>
    <w:rsid w:val="00D20456"/>
    <w:rsid w:val="00D20CDA"/>
    <w:rsid w:val="00D22902"/>
    <w:rsid w:val="00D25666"/>
    <w:rsid w:val="00D2690B"/>
    <w:rsid w:val="00D334CF"/>
    <w:rsid w:val="00D35793"/>
    <w:rsid w:val="00D42C61"/>
    <w:rsid w:val="00D43351"/>
    <w:rsid w:val="00D5157E"/>
    <w:rsid w:val="00D516AB"/>
    <w:rsid w:val="00D52D0E"/>
    <w:rsid w:val="00D6096E"/>
    <w:rsid w:val="00D6125D"/>
    <w:rsid w:val="00D62259"/>
    <w:rsid w:val="00D629D0"/>
    <w:rsid w:val="00D637A4"/>
    <w:rsid w:val="00D66026"/>
    <w:rsid w:val="00D75CF3"/>
    <w:rsid w:val="00D821FB"/>
    <w:rsid w:val="00D84C0A"/>
    <w:rsid w:val="00D87927"/>
    <w:rsid w:val="00D87E7E"/>
    <w:rsid w:val="00D87F67"/>
    <w:rsid w:val="00D906F6"/>
    <w:rsid w:val="00D907C3"/>
    <w:rsid w:val="00D95567"/>
    <w:rsid w:val="00D95C7F"/>
    <w:rsid w:val="00D95D61"/>
    <w:rsid w:val="00D95FCB"/>
    <w:rsid w:val="00DA05C9"/>
    <w:rsid w:val="00DA2E11"/>
    <w:rsid w:val="00DA351F"/>
    <w:rsid w:val="00DA692C"/>
    <w:rsid w:val="00DA73EB"/>
    <w:rsid w:val="00DB322B"/>
    <w:rsid w:val="00DB38E6"/>
    <w:rsid w:val="00DB41BF"/>
    <w:rsid w:val="00DB4D3D"/>
    <w:rsid w:val="00DB557C"/>
    <w:rsid w:val="00DB58BF"/>
    <w:rsid w:val="00DB6920"/>
    <w:rsid w:val="00DC160C"/>
    <w:rsid w:val="00DC4C40"/>
    <w:rsid w:val="00DC7D5D"/>
    <w:rsid w:val="00DD2792"/>
    <w:rsid w:val="00DD2F9C"/>
    <w:rsid w:val="00DD43FB"/>
    <w:rsid w:val="00DD4C8E"/>
    <w:rsid w:val="00DD4D8B"/>
    <w:rsid w:val="00DD59C8"/>
    <w:rsid w:val="00DE247E"/>
    <w:rsid w:val="00DE2692"/>
    <w:rsid w:val="00DE2A44"/>
    <w:rsid w:val="00DE4AF4"/>
    <w:rsid w:val="00DF03E3"/>
    <w:rsid w:val="00DF2239"/>
    <w:rsid w:val="00DF7074"/>
    <w:rsid w:val="00DF7A51"/>
    <w:rsid w:val="00E00DBA"/>
    <w:rsid w:val="00E01FCB"/>
    <w:rsid w:val="00E1137C"/>
    <w:rsid w:val="00E126D7"/>
    <w:rsid w:val="00E12AE0"/>
    <w:rsid w:val="00E14E13"/>
    <w:rsid w:val="00E14EBD"/>
    <w:rsid w:val="00E21A62"/>
    <w:rsid w:val="00E2266F"/>
    <w:rsid w:val="00E24397"/>
    <w:rsid w:val="00E259C0"/>
    <w:rsid w:val="00E27F2E"/>
    <w:rsid w:val="00E3101D"/>
    <w:rsid w:val="00E365BA"/>
    <w:rsid w:val="00E374E3"/>
    <w:rsid w:val="00E40EF7"/>
    <w:rsid w:val="00E42478"/>
    <w:rsid w:val="00E42592"/>
    <w:rsid w:val="00E439C1"/>
    <w:rsid w:val="00E44CE2"/>
    <w:rsid w:val="00E46B9B"/>
    <w:rsid w:val="00E559B8"/>
    <w:rsid w:val="00E605AA"/>
    <w:rsid w:val="00E608AB"/>
    <w:rsid w:val="00E60D75"/>
    <w:rsid w:val="00E63F1B"/>
    <w:rsid w:val="00E64744"/>
    <w:rsid w:val="00E666FD"/>
    <w:rsid w:val="00E66C17"/>
    <w:rsid w:val="00E70AD6"/>
    <w:rsid w:val="00E72C29"/>
    <w:rsid w:val="00E75017"/>
    <w:rsid w:val="00E7628F"/>
    <w:rsid w:val="00E767DC"/>
    <w:rsid w:val="00E77CD3"/>
    <w:rsid w:val="00E77F02"/>
    <w:rsid w:val="00E804AC"/>
    <w:rsid w:val="00E80B8C"/>
    <w:rsid w:val="00E82FBE"/>
    <w:rsid w:val="00E83FE3"/>
    <w:rsid w:val="00E91874"/>
    <w:rsid w:val="00E92BEB"/>
    <w:rsid w:val="00E96937"/>
    <w:rsid w:val="00EA2EEC"/>
    <w:rsid w:val="00EB0818"/>
    <w:rsid w:val="00EB0D4E"/>
    <w:rsid w:val="00EB33FC"/>
    <w:rsid w:val="00EB4C7A"/>
    <w:rsid w:val="00EB58DF"/>
    <w:rsid w:val="00EB5FE0"/>
    <w:rsid w:val="00EC0AF6"/>
    <w:rsid w:val="00EC34CF"/>
    <w:rsid w:val="00EC4099"/>
    <w:rsid w:val="00EC60B3"/>
    <w:rsid w:val="00EC640F"/>
    <w:rsid w:val="00EC7D0F"/>
    <w:rsid w:val="00ED03AD"/>
    <w:rsid w:val="00ED06B8"/>
    <w:rsid w:val="00ED1902"/>
    <w:rsid w:val="00EE0098"/>
    <w:rsid w:val="00EE01D9"/>
    <w:rsid w:val="00EE67B5"/>
    <w:rsid w:val="00EE7144"/>
    <w:rsid w:val="00EF18F1"/>
    <w:rsid w:val="00EF33F4"/>
    <w:rsid w:val="00EF7043"/>
    <w:rsid w:val="00F03483"/>
    <w:rsid w:val="00F03DC8"/>
    <w:rsid w:val="00F04235"/>
    <w:rsid w:val="00F050B4"/>
    <w:rsid w:val="00F050E4"/>
    <w:rsid w:val="00F10E27"/>
    <w:rsid w:val="00F11941"/>
    <w:rsid w:val="00F1347D"/>
    <w:rsid w:val="00F140BA"/>
    <w:rsid w:val="00F14BA0"/>
    <w:rsid w:val="00F14D41"/>
    <w:rsid w:val="00F1513A"/>
    <w:rsid w:val="00F16788"/>
    <w:rsid w:val="00F30121"/>
    <w:rsid w:val="00F31339"/>
    <w:rsid w:val="00F31809"/>
    <w:rsid w:val="00F3206E"/>
    <w:rsid w:val="00F32A73"/>
    <w:rsid w:val="00F35B5E"/>
    <w:rsid w:val="00F41B84"/>
    <w:rsid w:val="00F41BA2"/>
    <w:rsid w:val="00F52B81"/>
    <w:rsid w:val="00F538C2"/>
    <w:rsid w:val="00F561A5"/>
    <w:rsid w:val="00F56702"/>
    <w:rsid w:val="00F602AB"/>
    <w:rsid w:val="00F619E9"/>
    <w:rsid w:val="00F62727"/>
    <w:rsid w:val="00F62E24"/>
    <w:rsid w:val="00F6532E"/>
    <w:rsid w:val="00F676E1"/>
    <w:rsid w:val="00F70B0F"/>
    <w:rsid w:val="00F712EC"/>
    <w:rsid w:val="00F72535"/>
    <w:rsid w:val="00F72A27"/>
    <w:rsid w:val="00F757AD"/>
    <w:rsid w:val="00F842D4"/>
    <w:rsid w:val="00F93F47"/>
    <w:rsid w:val="00F94396"/>
    <w:rsid w:val="00F9585E"/>
    <w:rsid w:val="00FA0A73"/>
    <w:rsid w:val="00FA38F2"/>
    <w:rsid w:val="00FA49BD"/>
    <w:rsid w:val="00FA6069"/>
    <w:rsid w:val="00FA66C8"/>
    <w:rsid w:val="00FA6E79"/>
    <w:rsid w:val="00FB4B2A"/>
    <w:rsid w:val="00FB7F93"/>
    <w:rsid w:val="00FC16AD"/>
    <w:rsid w:val="00FC29A6"/>
    <w:rsid w:val="00FC3D5C"/>
    <w:rsid w:val="00FC4974"/>
    <w:rsid w:val="00FC54DC"/>
    <w:rsid w:val="00FC5775"/>
    <w:rsid w:val="00FC79B5"/>
    <w:rsid w:val="00FD0F75"/>
    <w:rsid w:val="00FD1D05"/>
    <w:rsid w:val="00FD36B8"/>
    <w:rsid w:val="00FD398E"/>
    <w:rsid w:val="00FD484C"/>
    <w:rsid w:val="00FD62E4"/>
    <w:rsid w:val="00FD6543"/>
    <w:rsid w:val="00FE0416"/>
    <w:rsid w:val="00FE455B"/>
    <w:rsid w:val="00FF2B0F"/>
    <w:rsid w:val="00FF30B1"/>
    <w:rsid w:val="00FF4131"/>
    <w:rsid w:val="00FF48B2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758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275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758"/>
    <w:rPr>
      <w:rFonts w:ascii="Cambria" w:eastAsia="Times New Roman" w:hAnsi="Cambria" w:cs="Times New Roman"/>
      <w:b/>
      <w:bCs/>
      <w:color w:val="365F91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275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927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75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9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B92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275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9275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B9275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0"/>
    <w:qFormat/>
    <w:rsid w:val="00B927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rsid w:val="00B927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B927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B92758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1"/>
    <w:semiHidden/>
    <w:rsid w:val="00B92758"/>
    <w:rPr>
      <w:rFonts w:ascii="Times New Roman" w:hAnsi="Times New Roman" w:cs="Times New Roman"/>
    </w:rPr>
  </w:style>
  <w:style w:type="paragraph" w:styleId="af1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0"/>
    <w:semiHidden/>
    <w:unhideWhenUsed/>
    <w:rsid w:val="00B92758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B92758"/>
  </w:style>
  <w:style w:type="paragraph" w:styleId="21">
    <w:name w:val="Body Text Indent 2"/>
    <w:basedOn w:val="a"/>
    <w:link w:val="22"/>
    <w:uiPriority w:val="99"/>
    <w:semiHidden/>
    <w:unhideWhenUsed/>
    <w:rsid w:val="00B927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2758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927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92758"/>
    <w:rPr>
      <w:rFonts w:ascii="Tahoma" w:eastAsia="Times New Roman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B9275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first">
    <w:name w:val="msolistparagraphcxspfirst"/>
    <w:basedOn w:val="a"/>
    <w:rsid w:val="00B9275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middle">
    <w:name w:val="msolistparagraphcxspmiddle"/>
    <w:basedOn w:val="a"/>
    <w:rsid w:val="00B9275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B9275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basedOn w:val="a"/>
    <w:rsid w:val="00B92758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Знак Знак Знак Знак Знак Знак Знак Знак"/>
    <w:basedOn w:val="a"/>
    <w:rsid w:val="00B92758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onsplusnonformat">
    <w:name w:val="consplusnonformat"/>
    <w:basedOn w:val="a"/>
    <w:rsid w:val="00B9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927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6">
    <w:name w:val="xl66"/>
    <w:basedOn w:val="a"/>
    <w:rsid w:val="00B927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8">
    <w:name w:val="xl68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9">
    <w:name w:val="xl69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1">
    <w:name w:val="xl71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2">
    <w:name w:val="xl72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5">
    <w:name w:val="xl75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6">
    <w:name w:val="xl76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77">
    <w:name w:val="xl77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8">
    <w:name w:val="xl78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1">
    <w:name w:val="xl81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2">
    <w:name w:val="xl82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4">
    <w:name w:val="xl84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85">
    <w:name w:val="xl85"/>
    <w:basedOn w:val="a"/>
    <w:rsid w:val="00B927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7">
    <w:name w:val="xl87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8">
    <w:name w:val="xl88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89">
    <w:name w:val="xl89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0">
    <w:name w:val="xl90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91">
    <w:name w:val="xl91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2">
    <w:name w:val="xl92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3">
    <w:name w:val="xl93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4">
    <w:name w:val="xl94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95">
    <w:name w:val="xl95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7">
    <w:name w:val="xl97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8">
    <w:name w:val="xl98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99">
    <w:name w:val="xl99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100">
    <w:name w:val="xl100"/>
    <w:basedOn w:val="a"/>
    <w:rsid w:val="00B92758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1">
    <w:name w:val="xl101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2">
    <w:name w:val="xl102"/>
    <w:basedOn w:val="a"/>
    <w:rsid w:val="00B92758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3">
    <w:name w:val="xl103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4">
    <w:name w:val="xl104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5">
    <w:name w:val="xl105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6">
    <w:name w:val="xl106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0">
    <w:name w:val="xl110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B9275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B92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9275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basedOn w:val="a"/>
    <w:rsid w:val="00B9275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basedOn w:val="a"/>
    <w:rsid w:val="00B927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papdefault">
    <w:name w:val="msopapdefault"/>
    <w:basedOn w:val="a"/>
    <w:rsid w:val="00B92758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basedOn w:val="a0"/>
    <w:uiPriority w:val="99"/>
    <w:semiHidden/>
    <w:unhideWhenUsed/>
    <w:rsid w:val="00B92758"/>
    <w:rPr>
      <w:vertAlign w:val="superscript"/>
    </w:rPr>
  </w:style>
  <w:style w:type="character" w:customStyle="1" w:styleId="apple-converted-space">
    <w:name w:val="apple-converted-space"/>
    <w:basedOn w:val="a0"/>
    <w:rsid w:val="00B92758"/>
  </w:style>
  <w:style w:type="character" w:customStyle="1" w:styleId="FontStyle31">
    <w:name w:val="Font Style31"/>
    <w:basedOn w:val="a0"/>
    <w:rsid w:val="00B92758"/>
    <w:rPr>
      <w:rFonts w:ascii="Times New Roman" w:hAnsi="Times New Roman" w:cs="Times New Roman" w:hint="default"/>
    </w:rPr>
  </w:style>
  <w:style w:type="character" w:styleId="af7">
    <w:name w:val="Strong"/>
    <w:basedOn w:val="a0"/>
    <w:uiPriority w:val="22"/>
    <w:qFormat/>
    <w:rsid w:val="00B92758"/>
    <w:rPr>
      <w:b/>
      <w:bCs/>
    </w:rPr>
  </w:style>
  <w:style w:type="table" w:styleId="af8">
    <w:name w:val="Table Grid"/>
    <w:basedOn w:val="a1"/>
    <w:uiPriority w:val="59"/>
    <w:rsid w:val="00604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253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EFF1F5"/>
                                <w:left w:val="single" w:sz="18" w:space="0" w:color="EFF1F5"/>
                                <w:bottom w:val="single" w:sz="18" w:space="0" w:color="EFF1F5"/>
                                <w:right w:val="single" w:sz="18" w:space="0" w:color="EFF1F5"/>
                              </w:divBdr>
                              <w:divsChild>
                                <w:div w:id="204991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5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7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69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18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06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03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78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60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0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18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61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354551CA67BDCFED63FF3C81F12052FC72BC0C6E1590CCF273B0227803vE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083959F7F133B0CBCC7141204F368A560411378A1931CE6A18C5F6A797B965D74A478EEF192B5d4Z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E0CC-E287-4DD2-AF7D-8E0DC506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1</Pages>
  <Words>6089</Words>
  <Characters>34710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1162</cp:revision>
  <cp:lastPrinted>2024-12-06T11:24:00Z</cp:lastPrinted>
  <dcterms:created xsi:type="dcterms:W3CDTF">2018-04-16T10:00:00Z</dcterms:created>
  <dcterms:modified xsi:type="dcterms:W3CDTF">2024-12-06T11:33:00Z</dcterms:modified>
</cp:coreProperties>
</file>