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1F" w:rsidRPr="003E3510" w:rsidRDefault="001D751D" w:rsidP="002C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Суражского муниципального района на засед</w:t>
      </w:r>
      <w:r w:rsidR="002C1869" w:rsidRPr="003E3510">
        <w:rPr>
          <w:rFonts w:ascii="Times New Roman" w:hAnsi="Times New Roman" w:cs="Times New Roman"/>
          <w:b/>
          <w:sz w:val="28"/>
          <w:szCs w:val="28"/>
        </w:rPr>
        <w:t>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30545F">
        <w:rPr>
          <w:rFonts w:ascii="Times New Roman" w:hAnsi="Times New Roman" w:cs="Times New Roman"/>
          <w:b/>
          <w:sz w:val="28"/>
          <w:szCs w:val="28"/>
        </w:rPr>
        <w:t>С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овета народных депутатов </w:t>
      </w:r>
      <w:r w:rsidR="0030545F">
        <w:rPr>
          <w:rFonts w:ascii="Times New Roman" w:hAnsi="Times New Roman" w:cs="Times New Roman"/>
          <w:b/>
          <w:sz w:val="28"/>
          <w:szCs w:val="28"/>
        </w:rPr>
        <w:t>города Суража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C446BB" w:rsidRPr="003E3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городского поселения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Суражск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0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Брянской области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446BB" w:rsidRPr="003E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F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4F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F5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DD4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DD46D9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Контрольно-счётную палату Суражского муниципального района администрацией Суражского района проект решения внесен от 1</w:t>
      </w:r>
      <w:r w:rsidR="004F52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что соответствует п. 1 статьи 185 Бюджетного Кодекса РФ</w:t>
      </w:r>
      <w:r w:rsidR="00DD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9AA" w:rsidRPr="003E3510" w:rsidRDefault="00CF7938" w:rsidP="00923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</w:t>
      </w:r>
      <w:r w:rsidR="004F5289" w:rsidRPr="004F52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Суражского городского поселения Суражского муниципального района Брянской области на 2022 год и плановый период 2023 и 2024 годов»</w:t>
      </w:r>
      <w:r w:rsidRP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осуществлялась</w:t>
      </w:r>
      <w:r w:rsidR="009233FD" w:rsidRP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9A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276" w:rsidRPr="003E3510" w:rsidRDefault="00A66276" w:rsidP="00A662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04290B" w:rsidRPr="003E3510" w:rsidRDefault="0004290B" w:rsidP="0004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</w:t>
      </w:r>
      <w:r w:rsidR="00CD690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184.2 Бюджетного кодекса Российской Федерации, в части полноты представляемых одновременно с Проектом решения о бюджете материалов и документов</w:t>
      </w:r>
      <w:r w:rsidR="00A66276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DD46D9" w:rsidRDefault="00CF7938" w:rsidP="00CF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</w:t>
      </w:r>
      <w:r w:rsidR="005540E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</w:t>
      </w:r>
      <w:r w:rsidR="00DD4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63" w:rsidRPr="003E3510" w:rsidRDefault="0012240F" w:rsidP="00B0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пп.2 пункта 3 статьи 28 Закона №131-ФЗ проект бюджета 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 на публичные слушания.</w:t>
      </w:r>
    </w:p>
    <w:p w:rsidR="00E509A5" w:rsidRPr="003E3510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</w:t>
      </w:r>
      <w:r w:rsidR="00F87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 решение включает в себя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2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бюджета.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r w:rsidR="008E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8E1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13328C" w:rsidRPr="003E3510" w:rsidRDefault="00DD7302" w:rsidP="0013328C">
      <w:pPr>
        <w:spacing w:after="0" w:line="240" w:lineRule="atLeast"/>
        <w:ind w:right="-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основных направлений налоговой и бюджетной политики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Прогноз 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 на период 202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:rsidR="00EC770B" w:rsidRPr="00EC770B" w:rsidRDefault="00EC770B" w:rsidP="00EC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собственных доходов бюджета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E509A5" w:rsidRPr="003E3510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предусмотрен в сумме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58159,4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бюджета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F788B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безвозмездных поступлений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EF5444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20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в сумме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40935,1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CB015E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EF5444" w:rsidRDefault="00CB015E" w:rsidP="00CB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17224,3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предыдущего года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40,1%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бюджета по доходам представлена следующим образом: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40935,1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40206,1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Неналоговые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729,0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17224,3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6B63" w:rsidRPr="003E3510" w:rsidRDefault="00A16B63" w:rsidP="00A1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1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 в сумме </w:t>
      </w:r>
      <w:r w:rsidR="00BC080C">
        <w:rPr>
          <w:rFonts w:ascii="Times New Roman" w:eastAsia="Times New Roman" w:hAnsi="Times New Roman" w:cs="Times New Roman"/>
          <w:sz w:val="28"/>
          <w:szCs w:val="28"/>
          <w:lang w:eastAsia="ru-RU"/>
        </w:rPr>
        <w:t>58159,4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B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исполнения объёма расходов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бюджета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предусмотрен.  </w:t>
      </w:r>
    </w:p>
    <w:p w:rsidR="00CF7938" w:rsidRPr="003E3510" w:rsidRDefault="00320F87" w:rsidP="00111B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будут исполняться в рамках 4-х программ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в бюджете заложено </w:t>
      </w:r>
      <w:r w:rsidR="000C0663">
        <w:rPr>
          <w:rFonts w:ascii="Times New Roman" w:eastAsia="Times New Roman" w:hAnsi="Times New Roman" w:cs="Times New Roman"/>
          <w:sz w:val="28"/>
          <w:szCs w:val="28"/>
          <w:lang w:eastAsia="ru-RU"/>
        </w:rPr>
        <w:t>58058,9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99,</w:t>
      </w:r>
      <w:r w:rsidR="000C06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расходах бюджета. </w:t>
      </w:r>
    </w:p>
    <w:p w:rsidR="003A391F" w:rsidRPr="003E3510" w:rsidRDefault="003A391F" w:rsidP="0011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4371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расходах бюджета.</w:t>
      </w:r>
    </w:p>
    <w:p w:rsidR="00B93410" w:rsidRPr="009E49EA" w:rsidRDefault="00B93410" w:rsidP="009C0B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Суражского района рекомендует </w:t>
      </w:r>
      <w:r w:rsidR="009C0B79" w:rsidRPr="009E49EA">
        <w:rPr>
          <w:rFonts w:ascii="Times New Roman" w:hAnsi="Times New Roman" w:cs="Times New Roman"/>
          <w:sz w:val="28"/>
          <w:szCs w:val="28"/>
        </w:rPr>
        <w:t xml:space="preserve">Совету народных депутатов города Суража </w:t>
      </w:r>
      <w:r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9C0B79"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Суражского городского поселения Суражского муниципального района </w:t>
      </w:r>
      <w:r w:rsidR="000C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="009C0B79"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C06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B79"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C0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B79"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C06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0B79"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0C06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</w:t>
      </w:r>
      <w:r w:rsidRPr="009E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2AA" w:rsidRPr="009E49EA" w:rsidRDefault="00FF32AA" w:rsidP="00FF32AA">
      <w:pPr>
        <w:spacing w:after="0" w:line="369" w:lineRule="exact"/>
        <w:ind w:righ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E49E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sectPr w:rsidR="00FF32AA" w:rsidRPr="009E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3"/>
    <w:rsid w:val="0004290B"/>
    <w:rsid w:val="000834CD"/>
    <w:rsid w:val="000C0663"/>
    <w:rsid w:val="00111BC0"/>
    <w:rsid w:val="00113263"/>
    <w:rsid w:val="0012240F"/>
    <w:rsid w:val="0013328C"/>
    <w:rsid w:val="001565BA"/>
    <w:rsid w:val="001D751D"/>
    <w:rsid w:val="00232597"/>
    <w:rsid w:val="002C1869"/>
    <w:rsid w:val="0030545F"/>
    <w:rsid w:val="00320F87"/>
    <w:rsid w:val="00337FC2"/>
    <w:rsid w:val="0038461E"/>
    <w:rsid w:val="0039746B"/>
    <w:rsid w:val="003A104A"/>
    <w:rsid w:val="003A391F"/>
    <w:rsid w:val="003A43C6"/>
    <w:rsid w:val="003B3066"/>
    <w:rsid w:val="003E3510"/>
    <w:rsid w:val="003F2E37"/>
    <w:rsid w:val="00431690"/>
    <w:rsid w:val="004371C0"/>
    <w:rsid w:val="00485DEA"/>
    <w:rsid w:val="004C221A"/>
    <w:rsid w:val="004F5289"/>
    <w:rsid w:val="005003C4"/>
    <w:rsid w:val="00530A07"/>
    <w:rsid w:val="00551723"/>
    <w:rsid w:val="005540EC"/>
    <w:rsid w:val="0057435A"/>
    <w:rsid w:val="00596A52"/>
    <w:rsid w:val="005A7883"/>
    <w:rsid w:val="005D24E5"/>
    <w:rsid w:val="005F788B"/>
    <w:rsid w:val="006D2176"/>
    <w:rsid w:val="006F1365"/>
    <w:rsid w:val="007143E5"/>
    <w:rsid w:val="00756E5C"/>
    <w:rsid w:val="0083591F"/>
    <w:rsid w:val="008E1375"/>
    <w:rsid w:val="009233FD"/>
    <w:rsid w:val="009A142B"/>
    <w:rsid w:val="009C0B79"/>
    <w:rsid w:val="009E49EA"/>
    <w:rsid w:val="00A01AA0"/>
    <w:rsid w:val="00A16B63"/>
    <w:rsid w:val="00A41B1C"/>
    <w:rsid w:val="00A66276"/>
    <w:rsid w:val="00AD069A"/>
    <w:rsid w:val="00B016D3"/>
    <w:rsid w:val="00B03800"/>
    <w:rsid w:val="00B070FF"/>
    <w:rsid w:val="00B6482D"/>
    <w:rsid w:val="00B93410"/>
    <w:rsid w:val="00BC080C"/>
    <w:rsid w:val="00C0079C"/>
    <w:rsid w:val="00C446BB"/>
    <w:rsid w:val="00CA0EC2"/>
    <w:rsid w:val="00CB015E"/>
    <w:rsid w:val="00CD690D"/>
    <w:rsid w:val="00CF7938"/>
    <w:rsid w:val="00DA59AA"/>
    <w:rsid w:val="00DB0D25"/>
    <w:rsid w:val="00DC0F2C"/>
    <w:rsid w:val="00DD46D9"/>
    <w:rsid w:val="00DD7302"/>
    <w:rsid w:val="00E22CF0"/>
    <w:rsid w:val="00E509A5"/>
    <w:rsid w:val="00E75323"/>
    <w:rsid w:val="00EA7240"/>
    <w:rsid w:val="00EC770B"/>
    <w:rsid w:val="00EF5444"/>
    <w:rsid w:val="00F00874"/>
    <w:rsid w:val="00F64B6C"/>
    <w:rsid w:val="00F76A3C"/>
    <w:rsid w:val="00F841AF"/>
    <w:rsid w:val="00F87503"/>
    <w:rsid w:val="00FE502E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77</cp:revision>
  <cp:lastPrinted>2019-11-26T12:23:00Z</cp:lastPrinted>
  <dcterms:created xsi:type="dcterms:W3CDTF">2019-11-26T08:25:00Z</dcterms:created>
  <dcterms:modified xsi:type="dcterms:W3CDTF">2021-12-07T06:58:00Z</dcterms:modified>
</cp:coreProperties>
</file>