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7BA9" w:rsidRPr="009F69EC" w:rsidRDefault="00257BA9" w:rsidP="00257BA9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57BA9" w:rsidRPr="009F69EC" w:rsidRDefault="00257BA9" w:rsidP="00257BA9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r w:rsidR="00952C69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A0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0411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57BA9" w:rsidRPr="009F69EC" w:rsidRDefault="00257BA9" w:rsidP="0025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7BA9" w:rsidRPr="009F69EC" w:rsidRDefault="00257BA9" w:rsidP="0025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11D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0411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AE1D88" w:rsidRPr="001E4715" w:rsidRDefault="00AE1D88" w:rsidP="00AE1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57BA9" w:rsidRPr="008172AF" w:rsidRDefault="00257BA9" w:rsidP="008A5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8C72F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BA9" w:rsidRPr="002371F9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r w:rsidR="00A71340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Дубровская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7BA9" w:rsidRPr="002371F9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BA9" w:rsidRPr="003F59BE" w:rsidRDefault="00257BA9" w:rsidP="0025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r w:rsidR="00952C69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Дубровского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8C72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8C72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с годовым отчетом об исполнении бюджета были представлены: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 w:rsidR="006F0280">
        <w:rPr>
          <w:rFonts w:ascii="Times New Roman" w:eastAsia="Times New Roman" w:hAnsi="Times New Roman" w:cs="Times New Roman"/>
          <w:sz w:val="28"/>
          <w:szCs w:val="28"/>
        </w:rPr>
        <w:t>Дубровско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71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2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823F6D" w:rsidRPr="00CC1F45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823F6D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поселения;</w:t>
      </w:r>
    </w:p>
    <w:p w:rsidR="00823F6D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бухгалтерская годовая отчетность.</w:t>
      </w:r>
    </w:p>
    <w:p w:rsidR="00823F6D" w:rsidRDefault="00823F6D" w:rsidP="0082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2866D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фонда.</w:t>
      </w:r>
    </w:p>
    <w:p w:rsidR="00D83447" w:rsidRPr="0079507C" w:rsidRDefault="00D83447" w:rsidP="0039431B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9200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70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195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195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3098,9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3098,9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671A07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D83447" w:rsidRDefault="00D83447" w:rsidP="00394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и дополнения в решение о бюджете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. 2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75A3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E1B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16F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3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F61B4D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D375A3" w:rsidRPr="00D375A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375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375A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-правовых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E70FCA" w:rsidRPr="00D56D7F" w:rsidRDefault="00E70FCA" w:rsidP="00E70F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7E305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-х случаях (</w:t>
      </w:r>
      <w:r w:rsidR="001C656C" w:rsidRPr="001C656C">
        <w:rPr>
          <w:rFonts w:ascii="Times New Roman" w:hAnsi="Times New Roman"/>
          <w:b/>
          <w:sz w:val="28"/>
          <w:szCs w:val="28"/>
        </w:rPr>
        <w:t>от 09.02. 2023 года № 119, от 30.11.2023 года № 127</w:t>
      </w:r>
      <w:r w:rsidR="001C656C">
        <w:rPr>
          <w:rFonts w:ascii="Times New Roman" w:hAnsi="Times New Roman"/>
          <w:b/>
          <w:sz w:val="28"/>
          <w:szCs w:val="28"/>
        </w:rPr>
        <w:t>)</w:t>
      </w:r>
      <w:r w:rsidR="001C656C" w:rsidRPr="001C65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D83447" w:rsidRPr="00E47A91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91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D83447" w:rsidRPr="00101E8C" w:rsidRDefault="00D83447" w:rsidP="00394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составил – </w:t>
      </w:r>
      <w:r w:rsidR="00441814">
        <w:rPr>
          <w:rFonts w:ascii="Times New Roman" w:eastAsia="Times New Roman" w:hAnsi="Times New Roman" w:cs="Times New Roman"/>
          <w:sz w:val="28"/>
          <w:szCs w:val="28"/>
        </w:rPr>
        <w:t>3182,5</w:t>
      </w:r>
      <w:r w:rsidR="00594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>тыс. рублей и  у</w:t>
      </w:r>
      <w:r w:rsidR="00101E8C" w:rsidRPr="00E47A91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41814">
        <w:rPr>
          <w:rFonts w:ascii="Times New Roman" w:eastAsia="Times New Roman" w:hAnsi="Times New Roman" w:cs="Times New Roman"/>
          <w:sz w:val="28"/>
          <w:szCs w:val="28"/>
        </w:rPr>
        <w:t>83,6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41814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E47A91">
        <w:rPr>
          <w:rFonts w:ascii="Times New Roman" w:eastAsia="Times New Roman" w:hAnsi="Times New Roman" w:cs="Times New Roman"/>
          <w:sz w:val="28"/>
          <w:szCs w:val="28"/>
        </w:rPr>
        <w:t>% от первоначально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объема доходов. </w:t>
      </w:r>
    </w:p>
    <w:p w:rsidR="00D83447" w:rsidRPr="00101E8C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составил </w:t>
      </w:r>
      <w:r w:rsidR="00441814">
        <w:rPr>
          <w:rFonts w:ascii="Times New Roman" w:eastAsia="Times New Roman" w:hAnsi="Times New Roman" w:cs="Times New Roman"/>
          <w:sz w:val="28"/>
          <w:szCs w:val="28"/>
        </w:rPr>
        <w:t>3360,5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B1A81">
        <w:rPr>
          <w:rFonts w:ascii="Times New Roman" w:eastAsia="Times New Roman" w:hAnsi="Times New Roman" w:cs="Times New Roman"/>
          <w:sz w:val="28"/>
          <w:szCs w:val="28"/>
        </w:rPr>
        <w:t>261,5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3B1A81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%) от первоначально утвержденного объема расходов.  </w:t>
      </w:r>
    </w:p>
    <w:p w:rsidR="00101E8C" w:rsidRPr="00101E8C" w:rsidRDefault="00D83447" w:rsidP="00101E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8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AC24B2">
        <w:rPr>
          <w:rFonts w:ascii="Times New Roman" w:eastAsia="Times New Roman" w:hAnsi="Times New Roman" w:cs="Times New Roman"/>
          <w:sz w:val="28"/>
          <w:szCs w:val="28"/>
        </w:rPr>
        <w:t xml:space="preserve">утвержден в сумме </w:t>
      </w:r>
      <w:r w:rsidR="003B1A81">
        <w:rPr>
          <w:rFonts w:ascii="Times New Roman" w:eastAsia="Times New Roman" w:hAnsi="Times New Roman" w:cs="Times New Roman"/>
          <w:sz w:val="28"/>
          <w:szCs w:val="28"/>
        </w:rPr>
        <w:t>177,3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C24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5452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утвержденного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бюджета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Дубровскую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осуществлялось на основе сводной бюджетной росписи и кассового плана.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533AFE" w:rsidRPr="00E9216F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25452" w:rsidRPr="00E921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59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C3597B">
        <w:rPr>
          <w:rFonts w:ascii="Times New Roman" w:eastAsia="Times New Roman" w:hAnsi="Times New Roman" w:cs="Times New Roman"/>
          <w:sz w:val="28"/>
          <w:szCs w:val="28"/>
        </w:rPr>
        <w:t>3183,2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тыс. рублей,</w:t>
      </w:r>
      <w:r w:rsidRPr="00E921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C3597B">
        <w:rPr>
          <w:rFonts w:ascii="Times New Roman" w:eastAsia="Times New Roman" w:hAnsi="Times New Roman" w:cs="Times New Roman"/>
          <w:sz w:val="28"/>
          <w:szCs w:val="28"/>
        </w:rPr>
        <w:t>3360,5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E921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C3597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C3597B">
        <w:rPr>
          <w:rFonts w:ascii="Times New Roman" w:eastAsia="Times New Roman" w:hAnsi="Times New Roman" w:cs="Times New Roman"/>
          <w:sz w:val="28"/>
          <w:szCs w:val="28"/>
        </w:rPr>
        <w:t>177,3</w:t>
      </w:r>
      <w:r w:rsidRPr="00E9216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D83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276"/>
        <w:gridCol w:w="1272"/>
        <w:gridCol w:w="965"/>
        <w:gridCol w:w="1418"/>
        <w:gridCol w:w="1164"/>
        <w:gridCol w:w="30"/>
      </w:tblGrid>
      <w:tr w:rsidR="00904F19" w:rsidRPr="00CC1F45" w:rsidTr="003E7543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4C7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C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Default="00904F19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904F19" w:rsidRPr="00CC1F45" w:rsidRDefault="00904F19" w:rsidP="00EF02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F0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 года к 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04F19" w:rsidRPr="00CC1F45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F19" w:rsidRPr="00CC1F45" w:rsidRDefault="00904F19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904F19" w:rsidRPr="00CC1F45" w:rsidRDefault="00904F1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3E7543">
        <w:trPr>
          <w:trHeight w:val="84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29E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CC1F45" w:rsidRDefault="00EF029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FF60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9805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-597,5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30" w:type="dxa"/>
            <w:vAlign w:val="center"/>
            <w:hideMark/>
          </w:tcPr>
          <w:p w:rsidR="00EF029E" w:rsidRPr="00CC1F45" w:rsidRDefault="00EF029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29E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CC1F45" w:rsidRDefault="00EF029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FF60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8F3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-230,1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30" w:type="dxa"/>
            <w:vAlign w:val="center"/>
            <w:hideMark/>
          </w:tcPr>
          <w:p w:rsidR="00EF029E" w:rsidRPr="00CC1F45" w:rsidRDefault="00EF029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29E" w:rsidRPr="00CC1F45" w:rsidTr="003E7543">
        <w:trPr>
          <w:trHeight w:val="3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CC1F45" w:rsidRDefault="00EF029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FF60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5A48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9E" w:rsidRPr="00D1275D" w:rsidRDefault="00EF029E" w:rsidP="005A48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-367,4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29E" w:rsidRPr="00EF029E" w:rsidRDefault="00EF0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9E">
              <w:rPr>
                <w:rFonts w:ascii="Times New Roman" w:hAnsi="Times New Roman" w:cs="Times New Roman"/>
                <w:color w:val="000000"/>
              </w:rPr>
              <w:t>-93,3</w:t>
            </w:r>
          </w:p>
        </w:tc>
        <w:tc>
          <w:tcPr>
            <w:tcW w:w="30" w:type="dxa"/>
            <w:vAlign w:val="center"/>
            <w:hideMark/>
          </w:tcPr>
          <w:p w:rsidR="00EF029E" w:rsidRPr="00CC1F45" w:rsidRDefault="00EF029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76D" w:rsidRPr="00CC1F45" w:rsidRDefault="00FA076D" w:rsidP="00FA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>597,5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>230,1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173F">
        <w:rPr>
          <w:rFonts w:ascii="Times New Roman" w:eastAsia="Times New Roman" w:hAnsi="Times New Roman" w:cs="Times New Roman"/>
          <w:sz w:val="28"/>
          <w:szCs w:val="28"/>
        </w:rPr>
        <w:t>ли на</w:t>
      </w:r>
      <w:r w:rsidR="001D3F52">
        <w:rPr>
          <w:rFonts w:ascii="Times New Roman" w:eastAsia="Times New Roman" w:hAnsi="Times New Roman" w:cs="Times New Roman"/>
          <w:sz w:val="28"/>
          <w:szCs w:val="28"/>
        </w:rPr>
        <w:t xml:space="preserve"> 6,4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A076D" w:rsidRPr="00CC1F45" w:rsidRDefault="00FA076D" w:rsidP="00FA076D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1856B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076D" w:rsidRPr="00CC1F45" w:rsidRDefault="00FA076D" w:rsidP="00F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</w:t>
      </w:r>
      <w:r w:rsidRPr="008A350C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FE3B86">
        <w:rPr>
          <w:rFonts w:ascii="Times New Roman" w:eastAsia="Times New Roman" w:hAnsi="Times New Roman" w:cs="Times New Roman"/>
          <w:sz w:val="28"/>
          <w:szCs w:val="28"/>
        </w:rPr>
        <w:t>3183,2</w:t>
      </w:r>
      <w:r w:rsidRPr="008A350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Исполнение доходной части бюджета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FA076D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8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992"/>
        <w:gridCol w:w="843"/>
        <w:gridCol w:w="835"/>
        <w:gridCol w:w="1003"/>
        <w:gridCol w:w="986"/>
        <w:gridCol w:w="30"/>
      </w:tblGrid>
      <w:tr w:rsidR="005C43A5" w:rsidRPr="00CC1F45" w:rsidTr="00C80C2A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C43A5" w:rsidRPr="00CC1F45" w:rsidRDefault="005C43A5" w:rsidP="00E27D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27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Default="005C43A5" w:rsidP="006C27BF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5C43A5" w:rsidRPr="00CC1F45" w:rsidRDefault="005C43A5" w:rsidP="00E27D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27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C43A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5C43A5" w:rsidRPr="00CC1F45" w:rsidRDefault="005C43A5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Default="005C43A5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отчетного года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предыдущему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C43A5" w:rsidRPr="00CC1F45" w:rsidRDefault="005C43A5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5" w:rsidRPr="00CC1F45" w:rsidRDefault="005C43A5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Исполнение отчетного года к </w:t>
            </w:r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предыдущему</w:t>
            </w:r>
            <w:proofErr w:type="gramStart"/>
            <w:r w:rsidRPr="0022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5C43A5" w:rsidRPr="00CC1F45" w:rsidRDefault="005C43A5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C80C2A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-1022,8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F51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17,4 раза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68" w:rsidRPr="00CC1F45" w:rsidRDefault="00706E68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706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-458,4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06E68" w:rsidRPr="00CC1F45" w:rsidTr="00FF60BC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E68" w:rsidRPr="00CC1F45" w:rsidTr="00FF60BC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E68" w:rsidRPr="00C0531E" w:rsidRDefault="00706E68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06E68" w:rsidRPr="00CC1F45" w:rsidTr="00FF60BC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6E68" w:rsidRPr="00CC1F45" w:rsidRDefault="00706E68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06E68" w:rsidRPr="00CC1F45" w:rsidTr="00FF60BC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6E68" w:rsidRPr="00CC1F45" w:rsidRDefault="00706E68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06E68" w:rsidRPr="00CC1F45" w:rsidTr="00FF60BC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6E68" w:rsidRPr="00CC1F45" w:rsidRDefault="00706E68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06E68" w:rsidRPr="00CC1F45" w:rsidTr="00FF60BC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6E68" w:rsidRPr="00CC1F45" w:rsidRDefault="00706E68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06E68" w:rsidRPr="00CC1F45" w:rsidTr="00FF60BC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68" w:rsidRPr="00CC1F45" w:rsidRDefault="00706E68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706E68" w:rsidRPr="00706E68" w:rsidRDefault="00706E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68" w:rsidRPr="00706E68" w:rsidRDefault="00706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0" w:type="dxa"/>
            <w:vAlign w:val="center"/>
            <w:hideMark/>
          </w:tcPr>
          <w:p w:rsidR="00706E68" w:rsidRPr="00CC1F45" w:rsidRDefault="00706E6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558" w:rsidRPr="00000200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00">
        <w:rPr>
          <w:rFonts w:ascii="Times New Roman" w:eastAsia="Times New Roman" w:hAnsi="Times New Roman" w:cs="Times New Roman"/>
          <w:sz w:val="28"/>
          <w:szCs w:val="28"/>
        </w:rPr>
        <w:lastRenderedPageBreak/>
        <w:t>В 20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1918,3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уточненному годовому плану, при этом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1022,8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BF02C2" w:rsidRPr="0000020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34,8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200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0002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удельный вес поступлений по группе «Налоговые и неналоговые доходы»  составляет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60,3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- 66,5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«Неналоговые доходы» -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33,5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  <w:r w:rsidRPr="00000200">
        <w:rPr>
          <w:rFonts w:ascii="Times New Roman" w:eastAsia="Times New Roman" w:hAnsi="Times New Roman" w:cs="Times New Roman"/>
          <w:sz w:val="28"/>
          <w:szCs w:val="28"/>
        </w:rPr>
        <w:t xml:space="preserve">«Безвозмездные поступления» </w:t>
      </w:r>
      <w:r w:rsidR="00980558" w:rsidRPr="00000200">
        <w:rPr>
          <w:rFonts w:ascii="Times New Roman" w:eastAsia="Times New Roman" w:hAnsi="Times New Roman" w:cs="Times New Roman"/>
          <w:sz w:val="28"/>
          <w:szCs w:val="28"/>
        </w:rPr>
        <w:t>имеют удельный</w:t>
      </w:r>
      <w:r w:rsidR="00980558">
        <w:rPr>
          <w:rFonts w:ascii="Times New Roman" w:eastAsia="Times New Roman" w:hAnsi="Times New Roman" w:cs="Times New Roman"/>
          <w:sz w:val="28"/>
          <w:szCs w:val="28"/>
        </w:rPr>
        <w:t xml:space="preserve"> вес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="00A0168C">
        <w:rPr>
          <w:rFonts w:ascii="Times New Roman" w:eastAsia="Times New Roman" w:hAnsi="Times New Roman" w:cs="Times New Roman"/>
          <w:sz w:val="28"/>
          <w:szCs w:val="28"/>
        </w:rPr>
        <w:t xml:space="preserve">налог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69,4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</w:t>
      </w:r>
      <w:r w:rsidR="00A0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продажи материальных активов – </w:t>
      </w:r>
      <w:r w:rsidR="00716405">
        <w:rPr>
          <w:rFonts w:ascii="Times New Roman" w:eastAsia="Times New Roman" w:hAnsi="Times New Roman" w:cs="Times New Roman"/>
          <w:color w:val="000000"/>
          <w:sz w:val="28"/>
          <w:szCs w:val="28"/>
        </w:rPr>
        <w:t>39,7</w:t>
      </w:r>
      <w:r w:rsidR="00A0168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, в группе безвозмездных поступлений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716405">
        <w:rPr>
          <w:rFonts w:ascii="Times New Roman" w:eastAsia="Times New Roman" w:hAnsi="Times New Roman" w:cs="Times New Roman"/>
          <w:sz w:val="28"/>
          <w:szCs w:val="28"/>
        </w:rPr>
        <w:t>– 90,9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DB6DEC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показателям.</w:t>
      </w:r>
    </w:p>
    <w:p w:rsidR="0047026F" w:rsidRPr="00C92BCF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доходов составил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1275,1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тыс. рублей, 100% от плана. Исполнение отчетного года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364,4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30,7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Pr="00C92BCF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обеспечено формирование собственных доходов муниципального </w:t>
      </w:r>
      <w:proofErr w:type="gramStart"/>
      <w:r w:rsidRPr="00C92B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явился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885,1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 тыс. рублей, 100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% к плану и 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47,9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 чем в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доходного источника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 xml:space="preserve">наибольший и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CB6">
        <w:rPr>
          <w:rFonts w:ascii="Times New Roman" w:eastAsia="Times New Roman" w:hAnsi="Times New Roman" w:cs="Times New Roman"/>
          <w:sz w:val="28"/>
          <w:szCs w:val="28"/>
        </w:rPr>
        <w:t>69,4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поступлений. </w:t>
      </w:r>
    </w:p>
    <w:p w:rsidR="00B634D2" w:rsidRPr="00C92BCF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в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5137A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7026F" w:rsidRPr="00C92BCF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F5137A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%.  Исполнение составило </w:t>
      </w:r>
      <w:r w:rsidR="00F5137A">
        <w:rPr>
          <w:rFonts w:ascii="Times New Roman" w:eastAsia="Times New Roman" w:hAnsi="Times New Roman" w:cs="Times New Roman"/>
          <w:sz w:val="28"/>
          <w:szCs w:val="28"/>
        </w:rPr>
        <w:t>125,9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92B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– </w:t>
      </w:r>
      <w:r w:rsidR="00F5137A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Pr="00C92BCF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имущество физических лиц в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DB6DEC" w:rsidRPr="00C92BCF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увеличилось в 17,4 раза</w:t>
      </w:r>
      <w:r w:rsidR="00065CED" w:rsidRPr="00C92BCF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248,8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составило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264,0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92B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–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A3BF4" w:rsidRDefault="002A3BF4" w:rsidP="00A2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01EC" w:rsidRPr="00C92BCF">
        <w:rPr>
          <w:rFonts w:ascii="Times New Roman" w:eastAsia="Times New Roman" w:hAnsi="Times New Roman" w:cs="Times New Roman"/>
          <w:sz w:val="28"/>
          <w:szCs w:val="28"/>
        </w:rPr>
        <w:t xml:space="preserve">диного сельскохозяйственного налога в </w:t>
      </w:r>
      <w:r w:rsidR="00333097" w:rsidRP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A201EC"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в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643,2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458,4</w:t>
      </w:r>
      <w:r w:rsidR="00A201EC" w:rsidRPr="00C9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на 41,6%</w:t>
      </w:r>
      <w:r w:rsidRPr="00C92B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5CED" w:rsidRPr="00C92BCF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в группе собственных доходов </w:t>
      </w:r>
      <w:r w:rsidR="002A3BF4">
        <w:rPr>
          <w:rFonts w:ascii="Times New Roman" w:eastAsia="Times New Roman" w:hAnsi="Times New Roman" w:cs="Times New Roman"/>
          <w:sz w:val="28"/>
          <w:szCs w:val="28"/>
        </w:rPr>
        <w:t>33,5</w:t>
      </w:r>
      <w:r w:rsidR="00065CED" w:rsidRPr="00C92BCF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</w:t>
      </w:r>
      <w:r w:rsidR="00C92BCF">
        <w:rPr>
          <w:rFonts w:ascii="Times New Roman" w:eastAsia="Times New Roman" w:hAnsi="Times New Roman" w:cs="Times New Roman"/>
          <w:sz w:val="28"/>
          <w:szCs w:val="28"/>
        </w:rPr>
        <w:t xml:space="preserve">поступили в сумме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64,1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B7F5A">
        <w:rPr>
          <w:rFonts w:ascii="Times New Roman" w:eastAsia="Times New Roman" w:hAnsi="Times New Roman" w:cs="Times New Roman"/>
          <w:sz w:val="28"/>
          <w:szCs w:val="28"/>
        </w:rPr>
        <w:t>, или 100,0% от плановых назначений.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по данному источнику наблюдается увеличение на 6,8%.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  удельный вес–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10,0</w:t>
      </w:r>
      <w:r w:rsidR="009B7F5A" w:rsidRPr="009B7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F5A">
        <w:rPr>
          <w:rFonts w:ascii="Times New Roman" w:eastAsia="Times New Roman" w:hAnsi="Times New Roman" w:cs="Times New Roman"/>
          <w:sz w:val="28"/>
          <w:szCs w:val="28"/>
        </w:rPr>
        <w:t>в группе неналоговых доходов.</w:t>
      </w:r>
    </w:p>
    <w:p w:rsidR="009B7F5A" w:rsidRDefault="009B7F5A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поступили в сумме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579,1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исполнены в объеме плановых назначений. Доходы от продажи материальных и нематериальных активов занимают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90,0</w:t>
      </w:r>
      <w:r>
        <w:rPr>
          <w:rFonts w:ascii="Times New Roman" w:eastAsia="Times New Roman" w:hAnsi="Times New Roman" w:cs="Times New Roman"/>
          <w:sz w:val="28"/>
          <w:szCs w:val="28"/>
        </w:rPr>
        <w:t>% в структуре неналоговых доходов.</w:t>
      </w:r>
    </w:p>
    <w:p w:rsidR="00B634D2" w:rsidRPr="00CC1F45" w:rsidRDefault="00B634D2" w:rsidP="00B634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Из бюджетов других уровней в </w:t>
      </w:r>
      <w:r w:rsidR="009B7F5A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1264,9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425,3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50,7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840FEA">
        <w:rPr>
          <w:rFonts w:ascii="Times New Roman" w:eastAsia="Times New Roman" w:hAnsi="Times New Roman" w:cs="Times New Roman"/>
          <w:spacing w:val="-8"/>
          <w:sz w:val="28"/>
          <w:szCs w:val="28"/>
        </w:rPr>
        <w:t>1150,0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840FEA">
        <w:rPr>
          <w:rFonts w:ascii="Times New Roman" w:eastAsia="Times New Roman" w:hAnsi="Times New Roman" w:cs="Times New Roman"/>
          <w:spacing w:val="-8"/>
          <w:sz w:val="28"/>
          <w:szCs w:val="28"/>
        </w:rPr>
        <w:t>90,9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411,0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55,6</w:t>
      </w:r>
      <w:r w:rsidR="00333097">
        <w:rPr>
          <w:rFonts w:ascii="Times New Roman" w:eastAsia="Times New Roman" w:hAnsi="Times New Roman" w:cs="Times New Roman"/>
          <w:sz w:val="28"/>
          <w:szCs w:val="28"/>
        </w:rPr>
        <w:t>%</w:t>
      </w:r>
      <w:r w:rsidR="00A201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115,0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что составляет 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3377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 xml:space="preserve">14,4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57ADE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840FEA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2FC3" w:rsidRPr="00855777" w:rsidRDefault="00A12FC3" w:rsidP="006C27BF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77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BE3E8D" w:rsidRPr="008557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2FC3" w:rsidRPr="00C91F7F" w:rsidRDefault="00A12FC3" w:rsidP="006C2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777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8557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5777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CF2BD4" w:rsidRPr="00855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F2A" w:rsidRPr="00855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5777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855777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«Общегосударственные вопросы» - </w:t>
      </w:r>
      <w:r w:rsidR="002E2DDB">
        <w:rPr>
          <w:rFonts w:ascii="Times New Roman" w:eastAsia="Times New Roman" w:hAnsi="Times New Roman" w:cs="Times New Roman"/>
          <w:spacing w:val="4"/>
          <w:sz w:val="28"/>
        </w:rPr>
        <w:t>68,6</w:t>
      </w:r>
      <w:r w:rsidRPr="00855777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855777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855777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</w:t>
      </w:r>
      <w:r w:rsidR="00CF2BD4" w:rsidRPr="00855777">
        <w:rPr>
          <w:rFonts w:ascii="Times New Roman" w:eastAsia="Times New Roman" w:hAnsi="Times New Roman" w:cs="Times New Roman"/>
          <w:spacing w:val="4"/>
          <w:sz w:val="28"/>
        </w:rPr>
        <w:t xml:space="preserve"> 10 «Социальная политика»</w:t>
      </w:r>
      <w:r w:rsidRPr="00855777">
        <w:rPr>
          <w:rFonts w:ascii="Times New Roman" w:eastAsia="Times New Roman" w:hAnsi="Times New Roman" w:cs="Times New Roman"/>
          <w:spacing w:val="4"/>
          <w:sz w:val="28"/>
        </w:rPr>
        <w:t xml:space="preserve"> - </w:t>
      </w:r>
      <w:r w:rsidR="00CF2BD4" w:rsidRPr="00855777">
        <w:rPr>
          <w:rFonts w:ascii="Times New Roman" w:eastAsia="Times New Roman" w:hAnsi="Times New Roman" w:cs="Times New Roman"/>
          <w:spacing w:val="4"/>
          <w:sz w:val="28"/>
        </w:rPr>
        <w:t>1</w:t>
      </w:r>
      <w:r w:rsidRPr="00855777">
        <w:rPr>
          <w:rFonts w:ascii="Times New Roman" w:eastAsia="Times New Roman" w:hAnsi="Times New Roman" w:cs="Times New Roman"/>
          <w:spacing w:val="4"/>
          <w:sz w:val="28"/>
        </w:rPr>
        <w:t>,</w:t>
      </w:r>
      <w:r w:rsidR="002E2DDB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855777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A12FC3" w:rsidRPr="00CC1F45" w:rsidRDefault="00A12FC3" w:rsidP="00A12FC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7F">
        <w:rPr>
          <w:rFonts w:ascii="Times New Roman" w:eastAsia="Times New Roman" w:hAnsi="Times New Roman" w:cs="Times New Roman"/>
          <w:sz w:val="28"/>
          <w:szCs w:val="28"/>
        </w:rPr>
        <w:t xml:space="preserve"> (тыс.</w:t>
      </w:r>
      <w:r w:rsidR="002E2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7F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W w:w="939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713"/>
        <w:gridCol w:w="1508"/>
        <w:gridCol w:w="992"/>
        <w:gridCol w:w="1417"/>
        <w:gridCol w:w="1204"/>
      </w:tblGrid>
      <w:tr w:rsidR="008473D0" w:rsidRPr="00CC1F45" w:rsidTr="00244D01">
        <w:trPr>
          <w:trHeight w:val="45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FB6F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5A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B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FB6F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BE3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B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244D01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B125BA" w:rsidRPr="00CC1F45" w:rsidTr="00244D01">
        <w:trPr>
          <w:trHeight w:val="20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5BA">
              <w:rPr>
                <w:rFonts w:ascii="Times New Roman" w:hAnsi="Times New Roman" w:cs="Times New Roman"/>
                <w:color w:val="000000"/>
              </w:rPr>
              <w:t>2304,5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B125BA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5BA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B125BA" w:rsidRPr="00CC1F45" w:rsidTr="00244D01">
        <w:trPr>
          <w:trHeight w:val="27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5BA">
              <w:rPr>
                <w:rFonts w:ascii="Times New Roman" w:hAnsi="Times New Roman" w:cs="Times New Roman"/>
                <w:color w:val="000000"/>
              </w:rPr>
              <w:t>751,6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B125BA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5B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25BA" w:rsidRPr="00CC1F45" w:rsidTr="00244D01">
        <w:trPr>
          <w:trHeight w:val="32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5BA">
              <w:rPr>
                <w:rFonts w:ascii="Times New Roman" w:hAnsi="Times New Roman" w:cs="Times New Roman"/>
                <w:color w:val="000000"/>
              </w:rPr>
              <w:t>149,5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B125BA" w:rsidRPr="00CC1F45" w:rsidTr="00244D01">
        <w:trPr>
          <w:trHeight w:val="1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5B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125BA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BA" w:rsidRPr="00C94DE4" w:rsidRDefault="00B125BA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B7024" w:rsidRDefault="00B125BA" w:rsidP="00FF6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0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5BA">
              <w:rPr>
                <w:rFonts w:ascii="Times New Roman" w:hAnsi="Times New Roman" w:cs="Times New Roman"/>
                <w:b/>
                <w:bCs/>
                <w:color w:val="000000"/>
              </w:rPr>
              <w:t>3360,5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5BA" w:rsidRPr="00B125BA" w:rsidRDefault="00B125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5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776C7" w:rsidRDefault="00213B7A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в отчетном году </w:t>
      </w:r>
      <w:r w:rsidR="00CF2BD4">
        <w:rPr>
          <w:rFonts w:ascii="Times New Roman" w:eastAsia="Times New Roman" w:hAnsi="Times New Roman" w:cs="Times New Roman"/>
          <w:sz w:val="28"/>
          <w:szCs w:val="28"/>
        </w:rPr>
        <w:t>исполнение производилось по 5 разделам.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сравнении с предыдущим </w:t>
      </w:r>
      <w:r w:rsidR="00CF2BD4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1D0099" w:rsidRPr="001D009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увеличение 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>удельн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ого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вес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а</w:t>
      </w:r>
      <w:r w:rsidR="00F6513B">
        <w:rPr>
          <w:rFonts w:ascii="Times New Roman" w:eastAsia="Times New Roman" w:hAnsi="Times New Roman" w:cs="Times New Roman"/>
          <w:spacing w:val="4"/>
          <w:sz w:val="28"/>
        </w:rPr>
        <w:t xml:space="preserve"> по 4 разделам, а наибольшее снижение наблюдается</w:t>
      </w:r>
      <w:r w:rsidR="002776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по разделу </w:t>
      </w:r>
      <w:r w:rsidR="00F6513B">
        <w:rPr>
          <w:rFonts w:ascii="Times New Roman" w:eastAsia="Times New Roman" w:hAnsi="Times New Roman" w:cs="Times New Roman"/>
          <w:spacing w:val="4"/>
          <w:sz w:val="28"/>
        </w:rPr>
        <w:t xml:space="preserve">05 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>«</w:t>
      </w:r>
      <w:r w:rsidR="00F6513B">
        <w:rPr>
          <w:rFonts w:ascii="Times New Roman" w:eastAsia="Times New Roman" w:hAnsi="Times New Roman" w:cs="Times New Roman"/>
          <w:spacing w:val="4"/>
          <w:sz w:val="28"/>
        </w:rPr>
        <w:t>Жилищно-коммунальное хозяйство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» на </w:t>
      </w:r>
      <w:r w:rsidR="00F6513B">
        <w:rPr>
          <w:rFonts w:ascii="Times New Roman" w:eastAsia="Times New Roman" w:hAnsi="Times New Roman" w:cs="Times New Roman"/>
          <w:spacing w:val="4"/>
          <w:sz w:val="28"/>
        </w:rPr>
        <w:t>3,1</w:t>
      </w:r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gramStart"/>
      <w:r w:rsidR="00CF2BD4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CF2BD4">
        <w:rPr>
          <w:rFonts w:ascii="Times New Roman" w:eastAsia="Times New Roman" w:hAnsi="Times New Roman" w:cs="Times New Roman"/>
          <w:spacing w:val="4"/>
          <w:sz w:val="28"/>
        </w:rPr>
        <w:t xml:space="preserve"> пункта. </w:t>
      </w:r>
    </w:p>
    <w:p w:rsidR="00213B7A" w:rsidRPr="004F73D3" w:rsidRDefault="00213B7A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бюджета поселения за </w:t>
      </w:r>
      <w:r w:rsidR="002776C7">
        <w:rPr>
          <w:rFonts w:ascii="Times New Roman" w:eastAsia="Times New Roman" w:hAnsi="Times New Roman" w:cs="Times New Roman"/>
          <w:spacing w:val="-6"/>
          <w:sz w:val="28"/>
          <w:szCs w:val="28"/>
        </w:rPr>
        <w:t>отчетный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F6513B">
        <w:rPr>
          <w:rFonts w:ascii="Times New Roman" w:eastAsia="Times New Roman" w:hAnsi="Times New Roman" w:cs="Times New Roman"/>
          <w:spacing w:val="-6"/>
          <w:sz w:val="28"/>
          <w:szCs w:val="28"/>
        </w:rPr>
        <w:t>3360,5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213B7A" w:rsidRPr="00171DD5" w:rsidRDefault="00213B7A" w:rsidP="006C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3B7A" w:rsidRPr="00CC1F45" w:rsidRDefault="00213B7A" w:rsidP="00213B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712"/>
        <w:gridCol w:w="647"/>
        <w:gridCol w:w="849"/>
        <w:gridCol w:w="992"/>
        <w:gridCol w:w="991"/>
        <w:gridCol w:w="849"/>
        <w:gridCol w:w="850"/>
        <w:gridCol w:w="32"/>
        <w:gridCol w:w="827"/>
        <w:gridCol w:w="85"/>
        <w:gridCol w:w="57"/>
      </w:tblGrid>
      <w:tr w:rsidR="002A502C" w:rsidRPr="00CC1F45" w:rsidTr="00915F94">
        <w:trPr>
          <w:trHeight w:val="255"/>
        </w:trPr>
        <w:tc>
          <w:tcPr>
            <w:tcW w:w="29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2C" w:rsidRPr="00CC1F45" w:rsidRDefault="002A502C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CC1F45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2A502C" w:rsidRPr="00D4092C" w:rsidRDefault="002A502C" w:rsidP="008B42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502C" w:rsidRPr="00D4092C" w:rsidRDefault="002A502C" w:rsidP="006B5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B5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(уточнен</w:t>
            </w:r>
            <w:proofErr w:type="gramEnd"/>
          </w:p>
          <w:p w:rsidR="002A502C" w:rsidRPr="00D4092C" w:rsidRDefault="002A502C" w:rsidP="007C62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2A502C" w:rsidRPr="00D4092C" w:rsidRDefault="002A502C" w:rsidP="006B5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6B5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к плану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отчетного года к предыдущему </w:t>
            </w:r>
          </w:p>
          <w:p w:rsidR="002A502C" w:rsidRPr="00D4092C" w:rsidRDefault="002A502C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2C" w:rsidRPr="00D4092C" w:rsidRDefault="002A502C" w:rsidP="00C92B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2" w:type="dxa"/>
            <w:gridSpan w:val="2"/>
            <w:vAlign w:val="center"/>
            <w:hideMark/>
          </w:tcPr>
          <w:p w:rsidR="002A502C" w:rsidRPr="00CC1F45" w:rsidRDefault="002A502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915F94">
        <w:trPr>
          <w:trHeight w:val="1336"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7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64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64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98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" w:type="dxa"/>
            <w:vAlign w:val="center"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-150,1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136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0,0 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51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980" w:rsidRPr="0037427B" w:rsidRDefault="007F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0,0,</w:t>
            </w:r>
          </w:p>
        </w:tc>
        <w:tc>
          <w:tcPr>
            <w:tcW w:w="85" w:type="dxa"/>
            <w:vAlign w:val="center"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80" w:rsidRPr="00CC1F45" w:rsidTr="00FF60BC">
        <w:trPr>
          <w:gridAfter w:val="1"/>
          <w:wAfter w:w="57" w:type="dxa"/>
          <w:trHeight w:val="25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-230,1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980" w:rsidRPr="0037427B" w:rsidRDefault="004D69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5" w:type="dxa"/>
            <w:vAlign w:val="center"/>
            <w:hideMark/>
          </w:tcPr>
          <w:p w:rsidR="004D6980" w:rsidRPr="00CC1F45" w:rsidRDefault="004D698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2304,5</w:t>
      </w:r>
      <w:r w:rsidR="00BC191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составляет 100 % к плану, и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98,5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Удельный вес расходов по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данному разделу составил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68,6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1635,4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51,3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550,5</w:t>
      </w:r>
      <w:r w:rsidR="004F5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898,5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179,1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B3A26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A26" w:rsidRPr="00CC1F45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668,6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150,1</w:t>
      </w:r>
      <w:r w:rsidR="0086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18,3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B176AC">
        <w:rPr>
          <w:rFonts w:ascii="Times New Roman" w:eastAsia="Times New Roman" w:hAnsi="Times New Roman" w:cs="Times New Roman"/>
          <w:bCs/>
          <w:sz w:val="28"/>
          <w:szCs w:val="28"/>
        </w:rPr>
        <w:t>, прочие расходы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115,0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76A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DE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209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751,6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рублей. Средства использованы на содержание пожарной команды по обеспечению пожарной безопасности. Указанные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 поселения. По сравнению с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F16F76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2B0A5D" w:rsidRDefault="000B3A26" w:rsidP="006C27BF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C2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DC24F7">
        <w:rPr>
          <w:rFonts w:ascii="Times New Roman" w:eastAsia="Times New Roman" w:hAnsi="Times New Roman" w:cs="Times New Roman"/>
          <w:sz w:val="28"/>
          <w:szCs w:val="28"/>
        </w:rPr>
        <w:t xml:space="preserve">ование средств не осуществлялось. </w:t>
      </w:r>
      <w:r w:rsidRPr="002B0A5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отражены по подразделу 0412 «Другие вопросы в </w:t>
      </w:r>
      <w:r w:rsidRPr="002B0A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области национальной экономики» на осуществление межевания земельных участков.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 xml:space="preserve">149,1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CA2089">
        <w:rPr>
          <w:rFonts w:ascii="Times New Roman" w:eastAsia="Times New Roman" w:hAnsi="Times New Roman" w:cs="Times New Roman"/>
          <w:sz w:val="28"/>
          <w:szCs w:val="28"/>
        </w:rPr>
        <w:t>11,0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CA208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D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D7F3C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CA2089">
        <w:rPr>
          <w:rFonts w:ascii="Times New Roman" w:eastAsia="Times New Roman" w:hAnsi="Times New Roman" w:cs="Times New Roman"/>
          <w:sz w:val="28"/>
          <w:szCs w:val="28"/>
        </w:rPr>
        <w:t>38,5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DD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A26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6A495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  расходы по данному разделу </w:t>
      </w:r>
      <w:r w:rsidR="00A65EEF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120,6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EEF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517B">
        <w:rPr>
          <w:rFonts w:ascii="Times New Roman" w:eastAsia="Times New Roman" w:hAnsi="Times New Roman" w:cs="Times New Roman"/>
          <w:sz w:val="28"/>
          <w:szCs w:val="28"/>
        </w:rPr>
        <w:t>44,7</w:t>
      </w:r>
      <w:r w:rsidR="00BA28B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183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507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разделу </w:t>
      </w:r>
      <w:r w:rsidR="0065077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уровню исполнения </w:t>
      </w:r>
      <w:r w:rsidR="00147263">
        <w:rPr>
          <w:rFonts w:ascii="Times New Roman" w:eastAsia="Times New Roman" w:hAnsi="Times New Roman" w:cs="Times New Roman"/>
          <w:sz w:val="28"/>
          <w:szCs w:val="28"/>
        </w:rPr>
        <w:t>прошлого года.</w:t>
      </w:r>
      <w:r w:rsidR="00024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10 01 «Пенсионное обеспечение» на ежемесячную доплату к пенсии муниципальным служащим</w:t>
      </w:r>
      <w:r w:rsidR="000E0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A26" w:rsidRPr="0060355D" w:rsidRDefault="000B3A26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B3A26" w:rsidRDefault="000B3A26" w:rsidP="000B3A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5562E9" w:rsidRPr="00100C38" w:rsidTr="00F83910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D1137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1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100C38" w:rsidRDefault="005562E9" w:rsidP="00D1137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1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D4092C" w:rsidRDefault="005562E9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отчетного года к предыдущему </w:t>
            </w:r>
          </w:p>
          <w:p w:rsidR="005562E9" w:rsidRPr="00D4092C" w:rsidRDefault="005562E9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D4092C" w:rsidRDefault="005562E9" w:rsidP="001E6A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отчетного года к предыдущему</w:t>
            </w:r>
            <w:proofErr w:type="gramStart"/>
            <w:r w:rsidRPr="00D4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5562E9" w:rsidRPr="00100C38" w:rsidRDefault="005562E9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C57A6" w:rsidRPr="00100C38" w:rsidTr="00FF60BC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2244,3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2311,1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6C57A6" w:rsidRPr="00100C38" w:rsidTr="00FF60BC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834,4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813,9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-20,5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6C57A6" w:rsidRPr="00100C38" w:rsidTr="00FF60BC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C57A6" w:rsidRPr="00100C38" w:rsidTr="00FF60BC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C57A6" w:rsidRPr="00100C38" w:rsidTr="00FF60BC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6C57A6" w:rsidRPr="00100C38" w:rsidTr="00FF60BC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-8,8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6C57A6" w:rsidRPr="00100C38" w:rsidTr="00FF60BC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C57A6" w:rsidRPr="00100C38" w:rsidTr="00FF60BC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455,3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187,6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-267,7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6C57A6" w:rsidRPr="00100C38" w:rsidTr="00FF60BC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A6" w:rsidRPr="00100C38" w:rsidRDefault="006C57A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7A6">
              <w:rPr>
                <w:rFonts w:ascii="Times New Roman" w:hAnsi="Times New Roman" w:cs="Times New Roman"/>
                <w:b/>
                <w:bCs/>
                <w:color w:val="000000"/>
              </w:rPr>
              <w:t>3590,6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7A6">
              <w:rPr>
                <w:rFonts w:ascii="Times New Roman" w:hAnsi="Times New Roman" w:cs="Times New Roman"/>
                <w:b/>
                <w:bCs/>
                <w:color w:val="000000"/>
              </w:rPr>
              <w:t>3360,5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bCs/>
                <w:color w:val="000000"/>
              </w:rPr>
              <w:t>-230,1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bCs/>
                <w:color w:val="000000"/>
              </w:rPr>
              <w:t>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6C57A6" w:rsidRPr="006C57A6" w:rsidRDefault="006C5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C16107" w:rsidRDefault="00CC1F45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заработную плату с начислениями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(статьи 211, 212, 213) составили  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>2311,1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 тыс. рублей, и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 xml:space="preserve"> имеют наибольший 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удельный вес 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общих расход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 xml:space="preserve"> 68,8%.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на заработную плату с начислениями в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93095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>66,8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по сравнению с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0513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составили 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>813,9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00578">
        <w:rPr>
          <w:rFonts w:ascii="Times New Roman" w:eastAsia="Times New Roman" w:hAnsi="Times New Roman" w:cs="Times New Roman"/>
          <w:sz w:val="28"/>
          <w:szCs w:val="28"/>
        </w:rPr>
        <w:t>24,2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5162C8">
        <w:rPr>
          <w:rFonts w:ascii="Times New Roman" w:eastAsia="Times New Roman" w:hAnsi="Times New Roman" w:cs="Times New Roman"/>
          <w:sz w:val="28"/>
          <w:szCs w:val="28"/>
        </w:rPr>
        <w:t>20,5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62C8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5162C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</w:t>
      </w:r>
      <w:r w:rsidR="00C1610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стоимости материальных запасов состав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5162C8">
        <w:rPr>
          <w:rFonts w:ascii="Times New Roman" w:eastAsia="Times New Roman" w:hAnsi="Times New Roman" w:cs="Times New Roman"/>
          <w:color w:val="000000"/>
          <w:sz w:val="28"/>
          <w:szCs w:val="28"/>
        </w:rPr>
        <w:t>187,6</w:t>
      </w:r>
      <w:r w:rsidR="005F5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162C8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2C8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62C8">
        <w:rPr>
          <w:rFonts w:ascii="Times New Roman" w:eastAsia="Times New Roman" w:hAnsi="Times New Roman" w:cs="Times New Roman"/>
          <w:sz w:val="28"/>
          <w:szCs w:val="28"/>
        </w:rPr>
        <w:t>230,1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62C8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95E">
        <w:rPr>
          <w:rFonts w:ascii="Times New Roman" w:eastAsia="Times New Roman" w:hAnsi="Times New Roman" w:cs="Times New Roman"/>
          <w:sz w:val="28"/>
          <w:szCs w:val="28"/>
        </w:rPr>
        <w:t xml:space="preserve"> Основные средства не приобретались.</w:t>
      </w:r>
    </w:p>
    <w:p w:rsidR="00CA25EC" w:rsidRDefault="00CA25EC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штрафов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случаев на сумму </w:t>
      </w:r>
      <w:r w:rsidR="005F51B5">
        <w:rPr>
          <w:rFonts w:ascii="Times New Roman" w:eastAsia="Times New Roman" w:hAnsi="Times New Roman" w:cs="Times New Roman"/>
          <w:sz w:val="28"/>
          <w:szCs w:val="28"/>
        </w:rPr>
        <w:t>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FD61A7" w:rsidRPr="00FD61A7" w:rsidRDefault="00D63323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E47A91" w:rsidRDefault="00E47A91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0B0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бездефицитным.</w:t>
      </w:r>
    </w:p>
    <w:p w:rsidR="00BA40EC" w:rsidRDefault="0038708A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утверждён 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A40EC" w:rsidRPr="00BA40EC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178,0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08A" w:rsidRDefault="00BA40EC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сточники финансирования дефицита бюджета - остатки на едином счете бюджета.</w:t>
      </w:r>
      <w:r w:rsidR="0038708A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08A" w:rsidRDefault="0038708A" w:rsidP="0038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434E30">
        <w:rPr>
          <w:rFonts w:ascii="Times New Roman" w:hAnsi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 xml:space="preserve">профицитом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 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177,3</w:t>
      </w:r>
      <w:r w:rsidR="00B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B14DB" w:rsidRPr="00216BF5" w:rsidRDefault="007B14DB" w:rsidP="007B14D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282,0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1E1C4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177,3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>. На 01.01.202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2827F3">
        <w:rPr>
          <w:rFonts w:ascii="Times New Roman" w:eastAsia="Times New Roman" w:hAnsi="Times New Roman" w:cs="Times New Roman"/>
          <w:sz w:val="28"/>
          <w:szCs w:val="28"/>
        </w:rPr>
        <w:t>104,7</w:t>
      </w:r>
      <w:r w:rsidR="00E47A9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D61A7" w:rsidRPr="00FD61A7" w:rsidRDefault="00FD61A7" w:rsidP="00FD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A42CA7" w:rsidRDefault="004626DF" w:rsidP="00A42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BB67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04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44A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5A0D9C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04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FE04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E04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D58A2" w:rsidRPr="00CC1F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6D22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0352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- требование п. 3 ст. 81 Бюджетного кодекса РФ соблюдено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размер резервного фонда в сумме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6C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3C6CBB">
        <w:rPr>
          <w:rFonts w:ascii="Times New Roman" w:eastAsia="Times New Roman" w:hAnsi="Times New Roman" w:cs="Times New Roman"/>
          <w:sz w:val="28"/>
          <w:szCs w:val="28"/>
        </w:rPr>
        <w:t>3360,0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</w:t>
      </w:r>
      <w:r w:rsidR="000A2E75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A37F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6CBB">
        <w:rPr>
          <w:rFonts w:ascii="Times New Roman" w:eastAsia="Times New Roman" w:hAnsi="Times New Roman" w:cs="Times New Roman"/>
          <w:sz w:val="28"/>
          <w:szCs w:val="28"/>
        </w:rPr>
        <w:t>360,5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1E134E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1E134E" w:rsidRDefault="00412471" w:rsidP="003C6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20</w:t>
            </w:r>
            <w:r w:rsidR="00001D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6C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3C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  <w:r w:rsidR="003C6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отчетного 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3C6CBB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6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отчетного 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3C6CB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3C6CB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77391C" w:rsidRDefault="003C6CBB" w:rsidP="007E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6CBB" w:rsidRPr="00CC1F45" w:rsidRDefault="003C6CBB" w:rsidP="00F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490975" w:rsidP="0062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490975" w:rsidP="005A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3C6CB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6CB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3C6CB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77391C" w:rsidRDefault="003C6CBB" w:rsidP="007E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6CBB" w:rsidRPr="00CC1F45" w:rsidRDefault="003C6CBB" w:rsidP="00F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7E3CBA" w:rsidP="000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7E3CBA" w:rsidP="005A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3C6CB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6CB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BB" w:rsidRPr="00CC1F45" w:rsidRDefault="003C6CB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BB" w:rsidRPr="0077391C" w:rsidRDefault="003C6CBB" w:rsidP="007E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6CBB" w:rsidRDefault="003C6CBB" w:rsidP="00F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BB" w:rsidRDefault="007E3CBA" w:rsidP="008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BB" w:rsidRDefault="007E3CBA" w:rsidP="0083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CBB" w:rsidRPr="00CC1F45" w:rsidRDefault="003C6CB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6CBB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3C6CB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3C6CBB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6CBB" w:rsidRPr="00CC1F45" w:rsidRDefault="003C6CBB" w:rsidP="00F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9F7E70" w:rsidP="0043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9F7E70" w:rsidP="005A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CBB" w:rsidRPr="00CC1F45" w:rsidRDefault="003C6CBB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</w:t>
      </w:r>
      <w:r w:rsidR="00831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6197">
        <w:rPr>
          <w:rFonts w:ascii="Times New Roman" w:eastAsia="Times New Roman" w:hAnsi="Times New Roman" w:cs="Times New Roman"/>
          <w:sz w:val="28"/>
          <w:szCs w:val="28"/>
        </w:rPr>
        <w:t>360,0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100% к уточненным назначениям. По сравнению с </w:t>
      </w:r>
      <w:r w:rsidR="009A6197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9A6197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77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97">
        <w:rPr>
          <w:rFonts w:ascii="Times New Roman" w:eastAsia="Times New Roman" w:hAnsi="Times New Roman" w:cs="Times New Roman"/>
          <w:sz w:val="28"/>
          <w:szCs w:val="28"/>
        </w:rPr>
        <w:t>230,1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A6197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Pr="00BD6606" w:rsidRDefault="00622CDC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 представлена «Оценка эффективности реализации программ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Дубровского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BD6606" w:rsidRDefault="00BD6606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сделан </w:t>
      </w:r>
      <w:r w:rsidR="00405350">
        <w:rPr>
          <w:rFonts w:ascii="Times New Roman" w:eastAsia="Times New Roman" w:hAnsi="Times New Roman" w:cs="Times New Roman"/>
          <w:bCs/>
          <w:sz w:val="28"/>
          <w:szCs w:val="28"/>
        </w:rPr>
        <w:t>на основании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годового отчета о ходе реализации муниципальных программ поселения.</w:t>
      </w:r>
    </w:p>
    <w:p w:rsidR="00540DD5" w:rsidRPr="00BD6606" w:rsidRDefault="00540DD5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Непрограммные мероприятия составили 0,5 тыс. рублей.</w:t>
      </w:r>
    </w:p>
    <w:p w:rsidR="00517B95" w:rsidRPr="00CC1F45" w:rsidRDefault="00517B95" w:rsidP="00517B95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517B9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241,6</w:t>
      </w:r>
      <w:r w:rsidR="0070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рублей, в течение отчетного периода задолженность у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11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32,3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273,9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239,6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ыс. рублей, долгосрочная – </w:t>
      </w:r>
      <w:r w:rsidR="002114F4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B833A8">
        <w:rPr>
          <w:rFonts w:ascii="Times New Roman" w:eastAsia="Times New Roman" w:hAnsi="Times New Roman" w:cs="Times New Roman"/>
          <w:spacing w:val="-6"/>
          <w:sz w:val="28"/>
          <w:szCs w:val="28"/>
        </w:rPr>
        <w:t>273,9</w:t>
      </w:r>
      <w:r w:rsidR="002114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912E02" w:rsidRDefault="00517B95" w:rsidP="0091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2114F4">
        <w:rPr>
          <w:rFonts w:ascii="Times New Roman" w:eastAsia="Times New Roman" w:hAnsi="Times New Roman" w:cs="Times New Roman"/>
          <w:spacing w:val="-6"/>
          <w:sz w:val="28"/>
          <w:szCs w:val="28"/>
        </w:rPr>
        <w:t>0,0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B01701" w:rsidRPr="000408FF" w:rsidRDefault="00B01701" w:rsidP="00B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Pr="000408F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2114F4">
        <w:rPr>
          <w:rFonts w:ascii="Times New Roman" w:hAnsi="Times New Roman" w:cs="Times New Roman"/>
          <w:sz w:val="28"/>
          <w:szCs w:val="28"/>
        </w:rPr>
        <w:t>0,0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C6E50" w:rsidRDefault="00517B95" w:rsidP="0021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года сложилась по счету </w:t>
      </w:r>
      <w:r w:rsidR="0049440F">
        <w:rPr>
          <w:rFonts w:ascii="Times New Roman" w:eastAsia="Times New Roman" w:hAnsi="Times New Roman" w:cs="Times New Roman"/>
          <w:sz w:val="28"/>
          <w:szCs w:val="28"/>
        </w:rPr>
        <w:t>1 205 11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«Расчеты с плательщиками налоговых доходов» в сумме 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 xml:space="preserve">1145,3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2114F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833A8">
        <w:rPr>
          <w:rFonts w:ascii="Times New Roman" w:eastAsia="Times New Roman" w:hAnsi="Times New Roman" w:cs="Times New Roman"/>
          <w:spacing w:val="-4"/>
          <w:sz w:val="28"/>
          <w:szCs w:val="28"/>
        </w:rPr>
        <w:t>меньшилась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B833A8">
        <w:rPr>
          <w:rFonts w:ascii="Times New Roman" w:eastAsia="Times New Roman" w:hAnsi="Times New Roman" w:cs="Times New Roman"/>
          <w:spacing w:val="-4"/>
          <w:sz w:val="28"/>
          <w:szCs w:val="28"/>
        </w:rPr>
        <w:t>1109,2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 xml:space="preserve"> (данные ИФНС)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B833A8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3A8">
        <w:rPr>
          <w:rFonts w:ascii="Times New Roman" w:eastAsia="Times New Roman" w:hAnsi="Times New Roman" w:cs="Times New Roman"/>
          <w:sz w:val="28"/>
          <w:szCs w:val="28"/>
        </w:rPr>
        <w:t>36,1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9C6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23A" w:rsidRDefault="0005023A" w:rsidP="0021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расходным обязательствам поселения не имеется.</w:t>
      </w:r>
    </w:p>
    <w:p w:rsidR="0005023A" w:rsidRDefault="0005023A" w:rsidP="00050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517B95" w:rsidRDefault="00517B95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D0432F">
        <w:rPr>
          <w:rFonts w:ascii="Times New Roman" w:eastAsia="Calibri" w:hAnsi="Times New Roman" w:cs="Times New Roman"/>
          <w:sz w:val="28"/>
          <w:szCs w:val="28"/>
          <w:lang w:eastAsia="en-US"/>
        </w:rPr>
        <w:t>3360,5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D0432F">
        <w:rPr>
          <w:rFonts w:ascii="Times New Roman" w:eastAsia="Calibri" w:hAnsi="Times New Roman" w:cs="Times New Roman"/>
          <w:sz w:val="28"/>
          <w:szCs w:val="28"/>
          <w:lang w:eastAsia="en-US"/>
        </w:rPr>
        <w:t>3360,5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517B95" w:rsidRPr="00FF0126" w:rsidRDefault="00517B95" w:rsidP="00517B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517B95" w:rsidRPr="00A7366A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>Наличие основных средств по балансу подтверждается «Сведения о движении нефинансовых активов» (ф. 0503168).</w:t>
      </w:r>
    </w:p>
    <w:p w:rsidR="00517B95" w:rsidRPr="00A7366A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r w:rsidR="00005793" w:rsidRPr="00A7366A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D961B2" w:rsidRPr="00A7366A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Стоимость основных средств на </w:t>
      </w:r>
      <w:proofErr w:type="gramStart"/>
      <w:r w:rsidRPr="00A7366A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E9" w:rsidRPr="00A7366A">
        <w:rPr>
          <w:rFonts w:ascii="Times New Roman" w:eastAsia="Times New Roman" w:hAnsi="Times New Roman" w:cs="Times New Roman"/>
          <w:sz w:val="28"/>
          <w:szCs w:val="28"/>
        </w:rPr>
        <w:t>и конец отчетного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D961B2" w:rsidRPr="00A7366A">
        <w:rPr>
          <w:rFonts w:ascii="Times New Roman" w:eastAsia="Times New Roman" w:hAnsi="Times New Roman" w:cs="Times New Roman"/>
          <w:sz w:val="28"/>
          <w:szCs w:val="28"/>
        </w:rPr>
        <w:t>13809,7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  <w:r w:rsidR="00D961B2" w:rsidRPr="00A7366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D961B2" w:rsidRPr="00A7366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961B2" w:rsidRPr="00A7366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движения основных средств не было.</w:t>
      </w:r>
    </w:p>
    <w:p w:rsidR="00005793" w:rsidRPr="00A7366A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</w:t>
      </w:r>
      <w:r w:rsidR="00005793" w:rsidRPr="00A7366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по основным средствам составила </w:t>
      </w:r>
      <w:r w:rsidR="00D961B2" w:rsidRPr="00A7366A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</w:p>
    <w:p w:rsidR="00517B95" w:rsidRPr="00A7366A" w:rsidRDefault="00005793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6A">
        <w:rPr>
          <w:rFonts w:ascii="Times New Roman" w:eastAsia="Times New Roman" w:hAnsi="Times New Roman" w:cs="Times New Roman"/>
          <w:sz w:val="28"/>
          <w:szCs w:val="28"/>
        </w:rPr>
        <w:t>Всего амортизация основных средств составляет на конец года 13809,7 тыс. рублей. Остаточной стоимости основных средств не имеется.</w:t>
      </w:r>
    </w:p>
    <w:p w:rsidR="001E6AE9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запасы на </w:t>
      </w:r>
      <w:proofErr w:type="gramStart"/>
      <w:r w:rsidRPr="00A7366A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E9" w:rsidRPr="00A7366A">
        <w:rPr>
          <w:rFonts w:ascii="Times New Roman" w:eastAsia="Times New Roman" w:hAnsi="Times New Roman" w:cs="Times New Roman"/>
          <w:sz w:val="28"/>
          <w:szCs w:val="28"/>
        </w:rPr>
        <w:t>и конец отчетного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D961B2" w:rsidRPr="00A7366A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1E6AE9" w:rsidRPr="00A7366A">
        <w:rPr>
          <w:rFonts w:ascii="Times New Roman" w:eastAsia="Times New Roman" w:hAnsi="Times New Roman" w:cs="Times New Roman"/>
          <w:sz w:val="28"/>
          <w:szCs w:val="28"/>
        </w:rPr>
        <w:t xml:space="preserve">Обороты </w:t>
      </w:r>
      <w:r w:rsidRPr="00A7366A">
        <w:rPr>
          <w:rFonts w:ascii="Times New Roman" w:eastAsia="Times New Roman" w:hAnsi="Times New Roman" w:cs="Times New Roman"/>
          <w:sz w:val="28"/>
          <w:szCs w:val="28"/>
        </w:rPr>
        <w:t>материальных запасов за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A7366A">
        <w:rPr>
          <w:rFonts w:ascii="Times New Roman" w:eastAsia="Times New Roman" w:hAnsi="Times New Roman" w:cs="Times New Roman"/>
          <w:sz w:val="28"/>
          <w:szCs w:val="28"/>
        </w:rPr>
        <w:t>187,6</w:t>
      </w:r>
      <w:r w:rsidRPr="001E6AE9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B95" w:rsidRPr="003A26D4" w:rsidRDefault="00517B95" w:rsidP="00517B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D170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</w:t>
      </w:r>
      <w:r w:rsidR="001E6AE9">
        <w:rPr>
          <w:rFonts w:ascii="Times New Roman" w:eastAsia="Times New Roman" w:hAnsi="Times New Roman" w:cs="Times New Roman"/>
          <w:sz w:val="28"/>
          <w:szCs w:val="28"/>
        </w:rPr>
        <w:t xml:space="preserve">балансовой стоимостью – 27273,8 тыс. рублей и 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остаточной стоимостью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2211,4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</w:t>
      </w:r>
      <w:r w:rsidR="00D170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6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517B95" w:rsidRPr="00174B58" w:rsidRDefault="00517B95" w:rsidP="00517B95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2E3A09" w:rsidRPr="00216BF5" w:rsidRDefault="00517B95" w:rsidP="002E3A0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статок средств на едином счете в органе Федерального казначейства 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>о состоянию на 01.01.20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6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A7366A">
        <w:rPr>
          <w:rFonts w:ascii="Times New Roman" w:eastAsia="Times New Roman" w:hAnsi="Times New Roman" w:cs="Times New Roman"/>
          <w:sz w:val="28"/>
          <w:szCs w:val="28"/>
        </w:rPr>
        <w:t>282,0 т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ыс. рублей, </w:t>
      </w:r>
      <w:r w:rsidR="007D4E5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1F2C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5B1F2C">
        <w:rPr>
          <w:rFonts w:ascii="Times New Roman" w:eastAsia="Times New Roman" w:hAnsi="Times New Roman" w:cs="Times New Roman"/>
          <w:sz w:val="28"/>
          <w:szCs w:val="28"/>
        </w:rPr>
        <w:t>177,3</w:t>
      </w:r>
      <w:r w:rsidR="002E3A09"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>. На 01.01.202</w:t>
      </w:r>
      <w:r w:rsidR="00A7366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составил </w:t>
      </w:r>
      <w:r w:rsidR="00A7366A">
        <w:rPr>
          <w:rFonts w:ascii="Times New Roman" w:eastAsia="Times New Roman" w:hAnsi="Times New Roman" w:cs="Times New Roman"/>
          <w:sz w:val="28"/>
          <w:szCs w:val="28"/>
        </w:rPr>
        <w:t>104,7</w:t>
      </w:r>
      <w:r w:rsidR="002E3A0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E1215" w:rsidRPr="00B866E1" w:rsidRDefault="000E1215" w:rsidP="000E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866E1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0E121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70359" w:rsidRPr="00B70359" w:rsidRDefault="00B70359" w:rsidP="00B7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0359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в Контрольно-счетную палату Суражского муниципального района представлена без нарушений установленного срока.</w:t>
      </w:r>
    </w:p>
    <w:p w:rsidR="00B70359" w:rsidRPr="00B70359" w:rsidRDefault="00B70359" w:rsidP="00B7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70359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0E1215" w:rsidRPr="00E431C6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FF60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0E1215" w:rsidRPr="00B34AB0" w:rsidRDefault="009163CC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отчетности об исполнении бюджета </w:t>
      </w:r>
      <w:r w:rsidR="00952C69" w:rsidRPr="00B34AB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="000E1215"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за 202</w:t>
      </w:r>
      <w:r w:rsidR="00B83DC3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0E1215"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предмет 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>полнот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 xml:space="preserve"> и правильност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1215" w:rsidRPr="00B34AB0">
        <w:rPr>
          <w:rFonts w:ascii="Times New Roman" w:eastAsia="Times New Roman" w:hAnsi="Times New Roman" w:cs="Times New Roman"/>
          <w:sz w:val="28"/>
          <w:szCs w:val="28"/>
        </w:rPr>
        <w:t xml:space="preserve"> заполнения форм бюджетной отчетности установлено, что </w:t>
      </w:r>
      <w:r w:rsidR="000E1215" w:rsidRPr="00B34AB0">
        <w:rPr>
          <w:rFonts w:ascii="Times New Roman" w:eastAsia="Times New Roman" w:hAnsi="Times New Roman" w:cs="Times New Roman"/>
          <w:b/>
          <w:sz w:val="28"/>
          <w:szCs w:val="28"/>
        </w:rPr>
        <w:t>отдельные формы бухгалтерской отчетности заполнены с нарушением требований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так же </w:t>
      </w:r>
      <w:r w:rsidR="00FF60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содержит неполный состав </w:t>
      </w:r>
      <w:r w:rsidR="00FF60BC">
        <w:rPr>
          <w:rFonts w:ascii="Times New Roman" w:eastAsia="Times New Roman" w:hAnsi="Times New Roman" w:cs="Times New Roman"/>
          <w:b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E1215" w:rsidRPr="00B34AB0">
        <w:rPr>
          <w:rFonts w:ascii="Times New Roman" w:eastAsia="Times New Roman" w:hAnsi="Times New Roman" w:cs="Times New Roman"/>
          <w:b/>
          <w:bCs/>
          <w:sz w:val="28"/>
          <w:szCs w:val="28"/>
        </w:rPr>
        <w:t>а именно</w:t>
      </w:r>
      <w:r w:rsidR="000E1215" w:rsidRPr="00B34AB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3030" w:rsidRDefault="00D63030" w:rsidP="00D630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8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</w:t>
      </w:r>
      <w:proofErr w:type="gramStart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";</w:t>
      </w:r>
    </w:p>
    <w:p w:rsidR="00116755" w:rsidRDefault="00116755" w:rsidP="0011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-- в нарушение Приказа Минфина от </w:t>
      </w:r>
      <w:r w:rsidR="00FF60BC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60B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60BC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№ </w:t>
      </w:r>
      <w:r w:rsidR="00FF60BC">
        <w:rPr>
          <w:rFonts w:ascii="Times New Roman" w:eastAsia="Times New Roman" w:hAnsi="Times New Roman" w:cs="Times New Roman"/>
          <w:b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 в составе </w:t>
      </w:r>
      <w:r w:rsidR="00AE5746">
        <w:rPr>
          <w:rFonts w:ascii="Times New Roman" w:eastAsia="Times New Roman" w:hAnsi="Times New Roman" w:cs="Times New Roman"/>
          <w:b/>
          <w:sz w:val="28"/>
          <w:szCs w:val="28"/>
        </w:rPr>
        <w:t>пояснительной записки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представлены </w:t>
      </w:r>
      <w:r w:rsidR="00AE5746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табличные формы №№ 11-16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Причина их непредставления в разделе 5  ф. 0503160 не указана.</w:t>
      </w:r>
    </w:p>
    <w:p w:rsidR="00AE5746" w:rsidRPr="00AE5746" w:rsidRDefault="00AE5746" w:rsidP="00B83DC3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746">
        <w:rPr>
          <w:rFonts w:ascii="Times New Roman" w:eastAsia="Times New Roman" w:hAnsi="Times New Roman" w:cs="Times New Roman"/>
          <w:b/>
          <w:i/>
          <w:sz w:val="28"/>
          <w:szCs w:val="28"/>
        </w:rPr>
        <w:t>Замечание устранено в ходе проверки.</w:t>
      </w:r>
      <w:r w:rsidR="00B83DC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0E1215" w:rsidRPr="00465F25" w:rsidRDefault="000E1215" w:rsidP="00EF7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E1215" w:rsidRPr="00465F25" w:rsidRDefault="000E1215" w:rsidP="000E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0E1215" w:rsidRDefault="000E1215" w:rsidP="000E1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202</w:t>
      </w:r>
      <w:r w:rsidR="00161B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0E1215" w:rsidRPr="00465F25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3807A8" w:rsidRDefault="000E1215" w:rsidP="00B703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  <w:r w:rsidR="003807A8" w:rsidRPr="0038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7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53847" w:rsidRPr="00353847" w:rsidRDefault="00353847" w:rsidP="003538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Провести анализ с</w:t>
      </w:r>
      <w:r w:rsidRPr="003538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353847" w:rsidRPr="00353847" w:rsidRDefault="00353847" w:rsidP="0035384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Представленный к проверке 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проект 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отчет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 исполнении бюджета поселения</w:t>
      </w:r>
      <w:r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Дубровского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«Об исполнении бюджета муниципального образования «</w:t>
      </w:r>
      <w:proofErr w:type="spellStart"/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Дубровское</w:t>
      </w:r>
      <w:proofErr w:type="spellEnd"/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Суражского муниципального района Брянской области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» за 20</w:t>
      </w:r>
      <w:r w:rsidR="009028B1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161B88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 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="009028B1"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 xml:space="preserve"> из 4</w:t>
      </w:r>
      <w:r w:rsidR="009028B1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 xml:space="preserve"> пунктов и 5</w:t>
      </w:r>
      <w:r w:rsidR="009028B1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3538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53847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353847" w:rsidRDefault="00253FA6" w:rsidP="0035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="00353847"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ановлено, что</w:t>
      </w:r>
      <w:r w:rsidR="00353847" w:rsidRPr="00353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 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решению об исполнении бюджета </w:t>
      </w:r>
      <w:r w:rsidR="00353847" w:rsidRPr="003538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</w:t>
      </w:r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</w:t>
      </w:r>
      <w:proofErr w:type="spellStart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Дубровское</w:t>
      </w:r>
      <w:proofErr w:type="spellEnd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сельское поселение Суражского муниципального района Брянской области» 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отчетный финансовый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предлагается 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дить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сгруппированные только по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353847" w:rsidRPr="00353847">
        <w:rPr>
          <w:rFonts w:ascii="Times New Roman" w:eastAsia="Times New Roman" w:hAnsi="Times New Roman" w:cs="Times New Roman"/>
          <w:b/>
          <w:sz w:val="28"/>
          <w:szCs w:val="28"/>
        </w:rPr>
        <w:t>разделам и подразделам классификации расходов бюджета.</w:t>
      </w:r>
    </w:p>
    <w:p w:rsidR="00253FA6" w:rsidRPr="00353847" w:rsidRDefault="00F403BF" w:rsidP="0035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BF">
        <w:rPr>
          <w:rFonts w:ascii="Times New Roman" w:eastAsia="Times New Roman" w:hAnsi="Times New Roman" w:cs="Times New Roman"/>
          <w:sz w:val="28"/>
          <w:szCs w:val="28"/>
        </w:rPr>
        <w:t>Нарушения устранены в ходе проверки.</w:t>
      </w:r>
    </w:p>
    <w:p w:rsidR="000E1215" w:rsidRPr="00FC7801" w:rsidRDefault="000E1215" w:rsidP="000E1215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0E1215" w:rsidRPr="00FC7801" w:rsidRDefault="000E1215" w:rsidP="000E121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0B589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0E1215" w:rsidRPr="00F5017A" w:rsidRDefault="000E1215" w:rsidP="000E12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0B5898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выявил, что сделанные ранее замечания учтены, однако выявлены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>ины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замечани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 выявляемы</w:t>
      </w:r>
      <w:r w:rsidR="00544E43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ранее. </w:t>
      </w:r>
    </w:p>
    <w:p w:rsidR="000E1215" w:rsidRPr="00F5017A" w:rsidRDefault="000E1215" w:rsidP="000E12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5017A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0E1215" w:rsidRPr="00F5017A" w:rsidRDefault="000E1215" w:rsidP="000E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17A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0E1215" w:rsidRPr="00A655F6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r w:rsidR="00952C69" w:rsidRPr="00A655F6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2217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2217AA">
        <w:rPr>
          <w:rFonts w:ascii="Times New Roman" w:eastAsia="Times New Roman" w:hAnsi="Times New Roman" w:cs="Times New Roman"/>
          <w:sz w:val="28"/>
          <w:szCs w:val="28"/>
        </w:rPr>
        <w:t>3183,2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на 100,0% к уточненному годовому плану, по расходам – </w:t>
      </w:r>
      <w:r w:rsidR="002217AA">
        <w:rPr>
          <w:rFonts w:ascii="Times New Roman" w:eastAsia="Times New Roman" w:hAnsi="Times New Roman" w:cs="Times New Roman"/>
          <w:sz w:val="28"/>
          <w:szCs w:val="28"/>
        </w:rPr>
        <w:t>3360,5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100,0% к уточненному годовому плану, с </w:t>
      </w:r>
      <w:r w:rsidR="002217A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2217AA">
        <w:rPr>
          <w:rFonts w:ascii="Times New Roman" w:eastAsia="Times New Roman" w:hAnsi="Times New Roman" w:cs="Times New Roman"/>
          <w:sz w:val="28"/>
          <w:szCs w:val="28"/>
        </w:rPr>
        <w:t xml:space="preserve">177,3 </w:t>
      </w: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F6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отчетность составлена с нарастающим итогом с начала года в рублях с точностью до второго десятичного знака после запятой.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0E1215" w:rsidRPr="00774809" w:rsidRDefault="000E1215" w:rsidP="000E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B83DC3" w:rsidRPr="00B34AB0" w:rsidRDefault="00B83DC3" w:rsidP="00B8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отчетности об исполнении бюджета </w:t>
      </w:r>
      <w:r w:rsidRPr="00B34AB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B34A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предмет 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>полнот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 и правильност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4AB0">
        <w:rPr>
          <w:rFonts w:ascii="Times New Roman" w:eastAsia="Times New Roman" w:hAnsi="Times New Roman" w:cs="Times New Roman"/>
          <w:sz w:val="28"/>
          <w:szCs w:val="28"/>
        </w:rPr>
        <w:t xml:space="preserve"> заполнения форм бюджетной отчетности установлено, что </w:t>
      </w:r>
      <w:r w:rsidRPr="00B34AB0">
        <w:rPr>
          <w:rFonts w:ascii="Times New Roman" w:eastAsia="Times New Roman" w:hAnsi="Times New Roman" w:cs="Times New Roman"/>
          <w:b/>
          <w:sz w:val="28"/>
          <w:szCs w:val="28"/>
        </w:rPr>
        <w:t>отдельные формы бухгалтерской отчетности заполнены с нарушением требований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так же пояснительная записка содержит неполный состав таблиц, </w:t>
      </w:r>
      <w:r w:rsidRPr="00B34AB0">
        <w:rPr>
          <w:rFonts w:ascii="Times New Roman" w:eastAsia="Times New Roman" w:hAnsi="Times New Roman" w:cs="Times New Roman"/>
          <w:b/>
          <w:bCs/>
          <w:sz w:val="28"/>
          <w:szCs w:val="28"/>
        </w:rPr>
        <w:t>а именно</w:t>
      </w:r>
      <w:r w:rsidRPr="00B34AB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3DC3" w:rsidRDefault="00B83DC3" w:rsidP="00B83D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нарушение пункта </w:t>
      </w:r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72.1. Инструкции 191н в ф. 0503128 «Отчет о бюджетных обязательствах»  не заполнен </w:t>
      </w:r>
      <w:hyperlink r:id="rId9" w:history="1">
        <w:r w:rsidRPr="00795E58">
          <w:rPr>
            <w:rFonts w:ascii="Times New Roman" w:eastAsia="Times New Roman" w:hAnsi="Times New Roman" w:cs="Times New Roman"/>
            <w:b/>
            <w:sz w:val="28"/>
            <w:szCs w:val="28"/>
          </w:rPr>
          <w:t>раздел</w:t>
        </w:r>
      </w:hyperlink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 xml:space="preserve"> 3 "Обязательства финансовых годов, следующих за текущим (отчетным) финансовым годом</w:t>
      </w:r>
      <w:proofErr w:type="gramStart"/>
      <w:r w:rsidRPr="00795E58">
        <w:rPr>
          <w:rFonts w:ascii="Times New Roman" w:eastAsia="Times New Roman" w:hAnsi="Times New Roman" w:cs="Times New Roman"/>
          <w:b/>
          <w:sz w:val="28"/>
          <w:szCs w:val="28"/>
        </w:rPr>
        <w:t>";</w:t>
      </w:r>
    </w:p>
    <w:p w:rsidR="00B83DC3" w:rsidRDefault="00B83DC3" w:rsidP="00B8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-- в нарушение Приказа Минфина от 07.11.2023г. № 180н в составе пояснительной записки не представлены табличные формы №№ 11-16 Причина их непредставления в разделе 5  ф. 0503160 не указана.</w:t>
      </w:r>
    </w:p>
    <w:p w:rsidR="000B5898" w:rsidRDefault="00B83DC3" w:rsidP="00B83DC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746">
        <w:rPr>
          <w:rFonts w:ascii="Times New Roman" w:eastAsia="Times New Roman" w:hAnsi="Times New Roman" w:cs="Times New Roman"/>
          <w:b/>
          <w:i/>
          <w:sz w:val="28"/>
          <w:szCs w:val="28"/>
        </w:rPr>
        <w:t>Замечание устранено в ходе проверки.</w:t>
      </w:r>
    </w:p>
    <w:p w:rsidR="00FD7C61" w:rsidRPr="00FD7C61" w:rsidRDefault="00B83DC3" w:rsidP="00B83D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D7C61" w:rsidRPr="00FD7C6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     </w:t>
      </w:r>
    </w:p>
    <w:p w:rsidR="00ED5CFB" w:rsidRDefault="00ED5CFB" w:rsidP="00ED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FA6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093095">
        <w:rPr>
          <w:rFonts w:ascii="Times New Roman" w:eastAsia="Times New Roman" w:hAnsi="Times New Roman" w:cs="Times New Roman"/>
          <w:sz w:val="28"/>
          <w:szCs w:val="28"/>
        </w:rPr>
        <w:t xml:space="preserve"> при проверке проекта Решения об утверждении Отчета об исполнении бюджета поселения установлено, что </w:t>
      </w:r>
      <w:r w:rsidRPr="00253FA6">
        <w:rPr>
          <w:rFonts w:ascii="Times New Roman" w:eastAsia="Times New Roman" w:hAnsi="Times New Roman" w:cs="Times New Roman"/>
          <w:b/>
          <w:sz w:val="28"/>
          <w:szCs w:val="28"/>
        </w:rPr>
        <w:t>в нарушение статьи 264.6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5898" w:rsidRDefault="000B5898" w:rsidP="000B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Pr="00353847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ановлено, что</w:t>
      </w:r>
      <w:r w:rsidRPr="00353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 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решению об исполнении бюджета </w:t>
      </w:r>
      <w:r w:rsidRPr="003538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</w:t>
      </w:r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</w:t>
      </w:r>
      <w:proofErr w:type="spellStart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Дубровское</w:t>
      </w:r>
      <w:proofErr w:type="spellEnd"/>
      <w:r w:rsidRPr="00253FA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сельское поселение Суражского муниципального района Брянской области» 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отчетный финансовый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предлагается 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дить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 xml:space="preserve"> сгруппированные только по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353847">
        <w:rPr>
          <w:rFonts w:ascii="Times New Roman" w:eastAsia="Times New Roman" w:hAnsi="Times New Roman" w:cs="Times New Roman"/>
          <w:b/>
          <w:sz w:val="28"/>
          <w:szCs w:val="28"/>
        </w:rPr>
        <w:t>разделам и подразделам классификации расходов бюджета.</w:t>
      </w:r>
    </w:p>
    <w:p w:rsidR="00ED5CFB" w:rsidRPr="00353847" w:rsidRDefault="00ED5CFB" w:rsidP="00ED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BF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C56C7E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835B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6C7E">
        <w:rPr>
          <w:rFonts w:ascii="Times New Roman" w:eastAsia="Times New Roman" w:hAnsi="Times New Roman" w:cs="Times New Roman"/>
          <w:sz w:val="28"/>
          <w:szCs w:val="28"/>
        </w:rPr>
        <w:t xml:space="preserve"> к проекту </w:t>
      </w:r>
      <w:r w:rsidR="00A2528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F403BF">
        <w:rPr>
          <w:rFonts w:ascii="Times New Roman" w:eastAsia="Times New Roman" w:hAnsi="Times New Roman" w:cs="Times New Roman"/>
          <w:sz w:val="28"/>
          <w:szCs w:val="28"/>
        </w:rPr>
        <w:t>устранены в ходе проверки.</w:t>
      </w:r>
    </w:p>
    <w:p w:rsidR="008D1A56" w:rsidRDefault="008D1A56" w:rsidP="008D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211D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фонда.</w:t>
      </w:r>
    </w:p>
    <w:p w:rsidR="00B2424B" w:rsidRPr="00D56D7F" w:rsidRDefault="00B2424B" w:rsidP="00B242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>в 2-х случаях (</w:t>
      </w:r>
      <w:r w:rsidR="00CA20A7" w:rsidRPr="00CA20A7">
        <w:rPr>
          <w:rFonts w:ascii="Times New Roman" w:hAnsi="Times New Roman"/>
          <w:b/>
          <w:sz w:val="28"/>
          <w:szCs w:val="28"/>
        </w:rPr>
        <w:t>от 09.02. 2023 года № 119, от 30.11.2023 года № 127,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0E1215" w:rsidRPr="00A154F5" w:rsidRDefault="000E1215" w:rsidP="000E12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Предложения:</w:t>
      </w:r>
    </w:p>
    <w:p w:rsidR="000E1215" w:rsidRPr="00A154F5" w:rsidRDefault="000E1215" w:rsidP="000E1215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0E1215" w:rsidRPr="00A154F5" w:rsidRDefault="000E1215" w:rsidP="000E1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0E1215" w:rsidRPr="00A154F5" w:rsidRDefault="000E1215" w:rsidP="000E12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DB4B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Дубровский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Совет народных депутатов  с рекомендацией рассмотреть проект решения «Об утверждении отчета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DB4B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0E1215" w:rsidRPr="00A154F5" w:rsidRDefault="000E1215" w:rsidP="000E1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A07178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0E1215" w:rsidRPr="00A154F5" w:rsidRDefault="000E1215" w:rsidP="000E12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A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DB4B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r w:rsidR="00952C69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DB4BC4" w:rsidRDefault="000E1215" w:rsidP="00DB4BC4">
      <w:pPr>
        <w:pStyle w:val="ad"/>
        <w:numPr>
          <w:ilvl w:val="1"/>
          <w:numId w:val="2"/>
        </w:numPr>
        <w:spacing w:after="0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B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  <w:r w:rsidR="008678D1" w:rsidRPr="00DB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3A48" w:rsidRPr="00DB4BC4" w:rsidRDefault="00263A48" w:rsidP="00263A48">
      <w:pPr>
        <w:pStyle w:val="ad"/>
        <w:numPr>
          <w:ilvl w:val="1"/>
          <w:numId w:val="2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63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Решения об утверждении Отчета об исполнении бюджета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Pr="00263A4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264.6 Бюджетного кодекса Российской Федерации:</w:t>
      </w:r>
    </w:p>
    <w:p w:rsidR="000E1215" w:rsidRPr="00243A9A" w:rsidRDefault="000E1215" w:rsidP="000E1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2.2  Составление отчетности производить в строгом соответствии с Инструкцией 191н.</w:t>
      </w:r>
      <w:r w:rsidR="00483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допускать нарушений при заполнении отчетных форм.</w:t>
      </w:r>
    </w:p>
    <w:p w:rsidR="004833A1" w:rsidRDefault="000E1215" w:rsidP="004833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072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3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83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допускать нарушений </w:t>
      </w:r>
      <w:r w:rsidR="004833A1" w:rsidRPr="004833A1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№ 6 от 29.11.2019 года «О передаче полномочий по осуществлению внешнего муниципального финансового контроля»</w:t>
      </w:r>
      <w:r w:rsidR="00483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833A1" w:rsidRPr="00483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833A1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="00483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33A1" w:rsidRPr="00483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бюджет поселения</w:t>
      </w:r>
      <w:r w:rsidR="004833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27DD" w:rsidRPr="00CC1F45" w:rsidRDefault="005B27DD" w:rsidP="005B27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7DD">
        <w:rPr>
          <w:rFonts w:ascii="Times New Roman" w:eastAsia="Times New Roman" w:hAnsi="Times New Roman" w:cs="Times New Roman"/>
          <w:bCs/>
          <w:sz w:val="28"/>
        </w:rPr>
        <w:t>Контрольно</w:t>
      </w:r>
      <w:proofErr w:type="spellEnd"/>
      <w:r w:rsidRPr="005B27DD">
        <w:rPr>
          <w:rFonts w:ascii="Times New Roman" w:eastAsia="Times New Roman" w:hAnsi="Times New Roman" w:cs="Times New Roman"/>
          <w:bCs/>
          <w:sz w:val="28"/>
        </w:rPr>
        <w:t xml:space="preserve"> – счетной палаты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5B27D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5B27DD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proofErr w:type="spellStart"/>
      <w:r w:rsidR="00F560FA" w:rsidRPr="005B27DD">
        <w:rPr>
          <w:rFonts w:ascii="Times New Roman" w:eastAsia="Times New Roman" w:hAnsi="Times New Roman" w:cs="Times New Roman"/>
          <w:bCs/>
          <w:sz w:val="28"/>
        </w:rPr>
        <w:t>Н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5B27DD">
        <w:rPr>
          <w:rFonts w:ascii="Times New Roman" w:eastAsia="Times New Roman" w:hAnsi="Times New Roman" w:cs="Times New Roman"/>
          <w:bCs/>
          <w:sz w:val="28"/>
        </w:rPr>
        <w:t>В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5B27DD">
        <w:rPr>
          <w:rFonts w:ascii="Times New Roman" w:eastAsia="Times New Roman" w:hAnsi="Times New Roman" w:cs="Times New Roman"/>
          <w:bCs/>
          <w:sz w:val="28"/>
        </w:rPr>
        <w:t>Жидкова</w:t>
      </w:r>
      <w:proofErr w:type="spellEnd"/>
    </w:p>
    <w:p w:rsidR="00CC1F45" w:rsidRPr="005B27DD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5B27DD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7D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5B27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34E30" w:rsidRPr="005B27DD">
        <w:rPr>
          <w:rFonts w:ascii="Times New Roman" w:eastAsia="Times New Roman" w:hAnsi="Times New Roman" w:cs="Times New Roman"/>
          <w:sz w:val="28"/>
          <w:szCs w:val="28"/>
        </w:rPr>
        <w:t>Дубровско</w:t>
      </w:r>
      <w:r w:rsidR="008F61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27D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F61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8F613F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30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Щетник</w:t>
      </w:r>
      <w:proofErr w:type="spellEnd"/>
    </w:p>
    <w:p w:rsidR="00933022" w:rsidRPr="005B27DD" w:rsidRDefault="00933022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BBE" w:rsidRPr="005B27DD" w:rsidRDefault="005B27DD">
      <w:pPr>
        <w:rPr>
          <w:rFonts w:ascii="Times New Roman" w:hAnsi="Times New Roman" w:cs="Times New Roman"/>
          <w:sz w:val="28"/>
          <w:szCs w:val="28"/>
        </w:rPr>
      </w:pPr>
      <w:r w:rsidRPr="005B27DD">
        <w:rPr>
          <w:rFonts w:ascii="Times New Roman" w:hAnsi="Times New Roman" w:cs="Times New Roman"/>
          <w:sz w:val="28"/>
          <w:szCs w:val="28"/>
        </w:rPr>
        <w:t xml:space="preserve">Главный бухгалтер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B27DD">
        <w:rPr>
          <w:rFonts w:ascii="Times New Roman" w:hAnsi="Times New Roman" w:cs="Times New Roman"/>
          <w:sz w:val="28"/>
          <w:szCs w:val="28"/>
        </w:rPr>
        <w:t xml:space="preserve">                     Н. Н. Бохан</w:t>
      </w:r>
    </w:p>
    <w:p w:rsidR="005B27DD" w:rsidRPr="005B27DD" w:rsidRDefault="005B27DD">
      <w:pPr>
        <w:rPr>
          <w:rFonts w:ascii="Times New Roman" w:hAnsi="Times New Roman" w:cs="Times New Roman"/>
          <w:sz w:val="28"/>
          <w:szCs w:val="28"/>
        </w:rPr>
      </w:pPr>
    </w:p>
    <w:sectPr w:rsidR="005B27DD" w:rsidRPr="005B27DD" w:rsidSect="00470F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00"/>
    <w:rsid w:val="0000026D"/>
    <w:rsid w:val="0000130A"/>
    <w:rsid w:val="00001AFB"/>
    <w:rsid w:val="00001B3D"/>
    <w:rsid w:val="00001D50"/>
    <w:rsid w:val="00005793"/>
    <w:rsid w:val="00010B55"/>
    <w:rsid w:val="000114BA"/>
    <w:rsid w:val="00014083"/>
    <w:rsid w:val="00016313"/>
    <w:rsid w:val="000165DE"/>
    <w:rsid w:val="00017660"/>
    <w:rsid w:val="00017E6B"/>
    <w:rsid w:val="00020F8A"/>
    <w:rsid w:val="000233C7"/>
    <w:rsid w:val="00023BE5"/>
    <w:rsid w:val="00023D9D"/>
    <w:rsid w:val="00024BAB"/>
    <w:rsid w:val="00031883"/>
    <w:rsid w:val="000375BC"/>
    <w:rsid w:val="000410B3"/>
    <w:rsid w:val="000411D4"/>
    <w:rsid w:val="00041268"/>
    <w:rsid w:val="00046495"/>
    <w:rsid w:val="000477BC"/>
    <w:rsid w:val="0005023A"/>
    <w:rsid w:val="0005136D"/>
    <w:rsid w:val="00051E53"/>
    <w:rsid w:val="00052451"/>
    <w:rsid w:val="00053CB6"/>
    <w:rsid w:val="000545F6"/>
    <w:rsid w:val="0005555D"/>
    <w:rsid w:val="00057426"/>
    <w:rsid w:val="00060DE8"/>
    <w:rsid w:val="00061B04"/>
    <w:rsid w:val="00065CED"/>
    <w:rsid w:val="00066498"/>
    <w:rsid w:val="00066C9E"/>
    <w:rsid w:val="00070924"/>
    <w:rsid w:val="00072FD5"/>
    <w:rsid w:val="00074218"/>
    <w:rsid w:val="00077DAD"/>
    <w:rsid w:val="00082CEB"/>
    <w:rsid w:val="00083401"/>
    <w:rsid w:val="0008400C"/>
    <w:rsid w:val="00085FD4"/>
    <w:rsid w:val="0008671E"/>
    <w:rsid w:val="00091F4D"/>
    <w:rsid w:val="00093095"/>
    <w:rsid w:val="00096A33"/>
    <w:rsid w:val="000A2E75"/>
    <w:rsid w:val="000A6566"/>
    <w:rsid w:val="000B0DA5"/>
    <w:rsid w:val="000B342D"/>
    <w:rsid w:val="000B3A26"/>
    <w:rsid w:val="000B3EC5"/>
    <w:rsid w:val="000B4B5B"/>
    <w:rsid w:val="000B5898"/>
    <w:rsid w:val="000C0D3F"/>
    <w:rsid w:val="000C3730"/>
    <w:rsid w:val="000C6785"/>
    <w:rsid w:val="000C7DFE"/>
    <w:rsid w:val="000D6845"/>
    <w:rsid w:val="000D7DE7"/>
    <w:rsid w:val="000E0183"/>
    <w:rsid w:val="000E1215"/>
    <w:rsid w:val="000E5756"/>
    <w:rsid w:val="000F0D65"/>
    <w:rsid w:val="000F4CDD"/>
    <w:rsid w:val="00100C38"/>
    <w:rsid w:val="00100DA0"/>
    <w:rsid w:val="00101E8C"/>
    <w:rsid w:val="00105B27"/>
    <w:rsid w:val="00107A8B"/>
    <w:rsid w:val="00111F62"/>
    <w:rsid w:val="00113B7D"/>
    <w:rsid w:val="00114519"/>
    <w:rsid w:val="00114B90"/>
    <w:rsid w:val="0011517B"/>
    <w:rsid w:val="00115F50"/>
    <w:rsid w:val="00116755"/>
    <w:rsid w:val="00122130"/>
    <w:rsid w:val="00124869"/>
    <w:rsid w:val="00125172"/>
    <w:rsid w:val="00134464"/>
    <w:rsid w:val="001353B4"/>
    <w:rsid w:val="00136348"/>
    <w:rsid w:val="001373AE"/>
    <w:rsid w:val="0013777A"/>
    <w:rsid w:val="00141EDF"/>
    <w:rsid w:val="00142D9D"/>
    <w:rsid w:val="00147263"/>
    <w:rsid w:val="001474A9"/>
    <w:rsid w:val="00150590"/>
    <w:rsid w:val="001514EE"/>
    <w:rsid w:val="001522AB"/>
    <w:rsid w:val="00154834"/>
    <w:rsid w:val="0016025B"/>
    <w:rsid w:val="00160C5E"/>
    <w:rsid w:val="00161B88"/>
    <w:rsid w:val="00163287"/>
    <w:rsid w:val="0017003F"/>
    <w:rsid w:val="00174D99"/>
    <w:rsid w:val="00175DA3"/>
    <w:rsid w:val="00177B93"/>
    <w:rsid w:val="0018079E"/>
    <w:rsid w:val="00182198"/>
    <w:rsid w:val="00183BC0"/>
    <w:rsid w:val="00184FB6"/>
    <w:rsid w:val="001852CF"/>
    <w:rsid w:val="001856B7"/>
    <w:rsid w:val="0019155B"/>
    <w:rsid w:val="00195789"/>
    <w:rsid w:val="00195C0E"/>
    <w:rsid w:val="001A2AA6"/>
    <w:rsid w:val="001A43B3"/>
    <w:rsid w:val="001A58D0"/>
    <w:rsid w:val="001A6DA4"/>
    <w:rsid w:val="001B1170"/>
    <w:rsid w:val="001B40C6"/>
    <w:rsid w:val="001C0C72"/>
    <w:rsid w:val="001C656C"/>
    <w:rsid w:val="001D0099"/>
    <w:rsid w:val="001D1099"/>
    <w:rsid w:val="001D3DF6"/>
    <w:rsid w:val="001D3F52"/>
    <w:rsid w:val="001D43B2"/>
    <w:rsid w:val="001D4AEE"/>
    <w:rsid w:val="001D7371"/>
    <w:rsid w:val="001E134E"/>
    <w:rsid w:val="001E1B86"/>
    <w:rsid w:val="001E1C43"/>
    <w:rsid w:val="001E6AE9"/>
    <w:rsid w:val="001E7978"/>
    <w:rsid w:val="001F4D9E"/>
    <w:rsid w:val="002004AC"/>
    <w:rsid w:val="00201C05"/>
    <w:rsid w:val="00202F28"/>
    <w:rsid w:val="00202FDD"/>
    <w:rsid w:val="00203788"/>
    <w:rsid w:val="002068BC"/>
    <w:rsid w:val="002114F4"/>
    <w:rsid w:val="00211D7A"/>
    <w:rsid w:val="00211DB6"/>
    <w:rsid w:val="00212346"/>
    <w:rsid w:val="00212EE0"/>
    <w:rsid w:val="00213B7A"/>
    <w:rsid w:val="002159A9"/>
    <w:rsid w:val="002200F0"/>
    <w:rsid w:val="002217AA"/>
    <w:rsid w:val="00222532"/>
    <w:rsid w:val="002235B5"/>
    <w:rsid w:val="00230858"/>
    <w:rsid w:val="002315E7"/>
    <w:rsid w:val="00232717"/>
    <w:rsid w:val="00233F3E"/>
    <w:rsid w:val="002422C0"/>
    <w:rsid w:val="00242B4B"/>
    <w:rsid w:val="00243A4F"/>
    <w:rsid w:val="002443C5"/>
    <w:rsid w:val="00244D01"/>
    <w:rsid w:val="00250DB7"/>
    <w:rsid w:val="0025239E"/>
    <w:rsid w:val="00253FA6"/>
    <w:rsid w:val="00257BA9"/>
    <w:rsid w:val="00263A48"/>
    <w:rsid w:val="00263C3B"/>
    <w:rsid w:val="00267766"/>
    <w:rsid w:val="00270E4D"/>
    <w:rsid w:val="002728CC"/>
    <w:rsid w:val="00275F0B"/>
    <w:rsid w:val="00276850"/>
    <w:rsid w:val="00277469"/>
    <w:rsid w:val="002776C7"/>
    <w:rsid w:val="00280165"/>
    <w:rsid w:val="00280F9E"/>
    <w:rsid w:val="002827F3"/>
    <w:rsid w:val="00285A92"/>
    <w:rsid w:val="002866D5"/>
    <w:rsid w:val="00293209"/>
    <w:rsid w:val="002A0705"/>
    <w:rsid w:val="002A305E"/>
    <w:rsid w:val="002A3157"/>
    <w:rsid w:val="002A3BF4"/>
    <w:rsid w:val="002A502C"/>
    <w:rsid w:val="002B2BE4"/>
    <w:rsid w:val="002B6D83"/>
    <w:rsid w:val="002C1C7B"/>
    <w:rsid w:val="002C7EC3"/>
    <w:rsid w:val="002D0485"/>
    <w:rsid w:val="002D0625"/>
    <w:rsid w:val="002D28E8"/>
    <w:rsid w:val="002D6617"/>
    <w:rsid w:val="002D6C4F"/>
    <w:rsid w:val="002E0232"/>
    <w:rsid w:val="002E0953"/>
    <w:rsid w:val="002E095D"/>
    <w:rsid w:val="002E0ECA"/>
    <w:rsid w:val="002E12C9"/>
    <w:rsid w:val="002E2DDB"/>
    <w:rsid w:val="002E3A09"/>
    <w:rsid w:val="002E4464"/>
    <w:rsid w:val="002F20FE"/>
    <w:rsid w:val="002F6023"/>
    <w:rsid w:val="002F66FD"/>
    <w:rsid w:val="003021A4"/>
    <w:rsid w:val="0030312F"/>
    <w:rsid w:val="00306609"/>
    <w:rsid w:val="00312590"/>
    <w:rsid w:val="003132E1"/>
    <w:rsid w:val="003139BC"/>
    <w:rsid w:val="00313AFA"/>
    <w:rsid w:val="00315C2F"/>
    <w:rsid w:val="00321A4D"/>
    <w:rsid w:val="003267D0"/>
    <w:rsid w:val="00326F86"/>
    <w:rsid w:val="00333097"/>
    <w:rsid w:val="0034071C"/>
    <w:rsid w:val="0034103C"/>
    <w:rsid w:val="00343199"/>
    <w:rsid w:val="0034394A"/>
    <w:rsid w:val="00345CDA"/>
    <w:rsid w:val="003472B8"/>
    <w:rsid w:val="00353847"/>
    <w:rsid w:val="00357B2F"/>
    <w:rsid w:val="00360152"/>
    <w:rsid w:val="0036653B"/>
    <w:rsid w:val="003719D4"/>
    <w:rsid w:val="003723E8"/>
    <w:rsid w:val="0037427B"/>
    <w:rsid w:val="003807A8"/>
    <w:rsid w:val="003807BE"/>
    <w:rsid w:val="003849F8"/>
    <w:rsid w:val="00385715"/>
    <w:rsid w:val="0038708A"/>
    <w:rsid w:val="003878E5"/>
    <w:rsid w:val="00390FBA"/>
    <w:rsid w:val="00393782"/>
    <w:rsid w:val="00393F0D"/>
    <w:rsid w:val="0039431B"/>
    <w:rsid w:val="003962AC"/>
    <w:rsid w:val="003A006F"/>
    <w:rsid w:val="003A1C86"/>
    <w:rsid w:val="003B173F"/>
    <w:rsid w:val="003B1A81"/>
    <w:rsid w:val="003B4902"/>
    <w:rsid w:val="003B4BBF"/>
    <w:rsid w:val="003B6A3D"/>
    <w:rsid w:val="003B6E20"/>
    <w:rsid w:val="003C1E29"/>
    <w:rsid w:val="003C2158"/>
    <w:rsid w:val="003C362F"/>
    <w:rsid w:val="003C6677"/>
    <w:rsid w:val="003C6CBB"/>
    <w:rsid w:val="003C7ED1"/>
    <w:rsid w:val="003D14BA"/>
    <w:rsid w:val="003D61D2"/>
    <w:rsid w:val="003D7B46"/>
    <w:rsid w:val="003E0804"/>
    <w:rsid w:val="003E46F0"/>
    <w:rsid w:val="003E55AC"/>
    <w:rsid w:val="003E7543"/>
    <w:rsid w:val="003F4636"/>
    <w:rsid w:val="003F541B"/>
    <w:rsid w:val="00401BD8"/>
    <w:rsid w:val="00401BDB"/>
    <w:rsid w:val="004036E5"/>
    <w:rsid w:val="00403F8A"/>
    <w:rsid w:val="00404D78"/>
    <w:rsid w:val="00405350"/>
    <w:rsid w:val="004058C5"/>
    <w:rsid w:val="00407489"/>
    <w:rsid w:val="0040780A"/>
    <w:rsid w:val="00410349"/>
    <w:rsid w:val="0041108D"/>
    <w:rsid w:val="00412471"/>
    <w:rsid w:val="0041647A"/>
    <w:rsid w:val="00416AF5"/>
    <w:rsid w:val="00417BD9"/>
    <w:rsid w:val="0042137C"/>
    <w:rsid w:val="00422918"/>
    <w:rsid w:val="00430461"/>
    <w:rsid w:val="00432A37"/>
    <w:rsid w:val="00433503"/>
    <w:rsid w:val="004337DF"/>
    <w:rsid w:val="004340B1"/>
    <w:rsid w:val="00434E30"/>
    <w:rsid w:val="00437AC3"/>
    <w:rsid w:val="00441814"/>
    <w:rsid w:val="0044268D"/>
    <w:rsid w:val="004458F7"/>
    <w:rsid w:val="00447D46"/>
    <w:rsid w:val="0045377A"/>
    <w:rsid w:val="0045449E"/>
    <w:rsid w:val="00461935"/>
    <w:rsid w:val="004626DF"/>
    <w:rsid w:val="00464699"/>
    <w:rsid w:val="00467A92"/>
    <w:rsid w:val="0047026F"/>
    <w:rsid w:val="00470F94"/>
    <w:rsid w:val="00473E1D"/>
    <w:rsid w:val="00475B86"/>
    <w:rsid w:val="00475C6E"/>
    <w:rsid w:val="00476995"/>
    <w:rsid w:val="004776D9"/>
    <w:rsid w:val="00482038"/>
    <w:rsid w:val="004833A1"/>
    <w:rsid w:val="004838AB"/>
    <w:rsid w:val="00487258"/>
    <w:rsid w:val="00487B6A"/>
    <w:rsid w:val="00490975"/>
    <w:rsid w:val="00490CFE"/>
    <w:rsid w:val="004929C6"/>
    <w:rsid w:val="00493A60"/>
    <w:rsid w:val="00493DF6"/>
    <w:rsid w:val="0049440F"/>
    <w:rsid w:val="00494544"/>
    <w:rsid w:val="00494C73"/>
    <w:rsid w:val="00494E2F"/>
    <w:rsid w:val="00495519"/>
    <w:rsid w:val="00495EDF"/>
    <w:rsid w:val="004A1184"/>
    <w:rsid w:val="004A1947"/>
    <w:rsid w:val="004A4D6E"/>
    <w:rsid w:val="004A598E"/>
    <w:rsid w:val="004A5C6B"/>
    <w:rsid w:val="004B478B"/>
    <w:rsid w:val="004B497D"/>
    <w:rsid w:val="004B5769"/>
    <w:rsid w:val="004B61FE"/>
    <w:rsid w:val="004B6447"/>
    <w:rsid w:val="004B7374"/>
    <w:rsid w:val="004C3195"/>
    <w:rsid w:val="004C703E"/>
    <w:rsid w:val="004D0068"/>
    <w:rsid w:val="004D6765"/>
    <w:rsid w:val="004D6980"/>
    <w:rsid w:val="004D7601"/>
    <w:rsid w:val="004E105C"/>
    <w:rsid w:val="004E131C"/>
    <w:rsid w:val="004E195E"/>
    <w:rsid w:val="004E24B7"/>
    <w:rsid w:val="004E2F11"/>
    <w:rsid w:val="004E4BB9"/>
    <w:rsid w:val="004E62BB"/>
    <w:rsid w:val="004F37D2"/>
    <w:rsid w:val="004F45F1"/>
    <w:rsid w:val="004F51F7"/>
    <w:rsid w:val="004F6FF5"/>
    <w:rsid w:val="005035EB"/>
    <w:rsid w:val="0050419E"/>
    <w:rsid w:val="00504435"/>
    <w:rsid w:val="0050446C"/>
    <w:rsid w:val="00505B1E"/>
    <w:rsid w:val="00507F47"/>
    <w:rsid w:val="00510A45"/>
    <w:rsid w:val="00514A6C"/>
    <w:rsid w:val="005162C8"/>
    <w:rsid w:val="00517B95"/>
    <w:rsid w:val="005214B3"/>
    <w:rsid w:val="00523328"/>
    <w:rsid w:val="00523948"/>
    <w:rsid w:val="005249EE"/>
    <w:rsid w:val="00530099"/>
    <w:rsid w:val="00530D7F"/>
    <w:rsid w:val="00532601"/>
    <w:rsid w:val="00533AFE"/>
    <w:rsid w:val="0053501E"/>
    <w:rsid w:val="00535E65"/>
    <w:rsid w:val="00537E73"/>
    <w:rsid w:val="00540CD5"/>
    <w:rsid w:val="00540DCB"/>
    <w:rsid w:val="00540DD5"/>
    <w:rsid w:val="00541AC7"/>
    <w:rsid w:val="00544E43"/>
    <w:rsid w:val="00551E70"/>
    <w:rsid w:val="00552392"/>
    <w:rsid w:val="00554C07"/>
    <w:rsid w:val="005562E9"/>
    <w:rsid w:val="00556E2E"/>
    <w:rsid w:val="005578D8"/>
    <w:rsid w:val="00557B5E"/>
    <w:rsid w:val="0056021D"/>
    <w:rsid w:val="00561438"/>
    <w:rsid w:val="005625F4"/>
    <w:rsid w:val="00571080"/>
    <w:rsid w:val="005761A4"/>
    <w:rsid w:val="00584717"/>
    <w:rsid w:val="00585224"/>
    <w:rsid w:val="00586D6B"/>
    <w:rsid w:val="00587605"/>
    <w:rsid w:val="00587809"/>
    <w:rsid w:val="005930CB"/>
    <w:rsid w:val="005944EB"/>
    <w:rsid w:val="00595E7E"/>
    <w:rsid w:val="00596A89"/>
    <w:rsid w:val="00596FBA"/>
    <w:rsid w:val="00597D9E"/>
    <w:rsid w:val="005A0D9C"/>
    <w:rsid w:val="005A1658"/>
    <w:rsid w:val="005A25B5"/>
    <w:rsid w:val="005A28B3"/>
    <w:rsid w:val="005A3DEA"/>
    <w:rsid w:val="005A484E"/>
    <w:rsid w:val="005A651C"/>
    <w:rsid w:val="005A6C31"/>
    <w:rsid w:val="005A6EC4"/>
    <w:rsid w:val="005B1970"/>
    <w:rsid w:val="005B1F2C"/>
    <w:rsid w:val="005B27DD"/>
    <w:rsid w:val="005B366F"/>
    <w:rsid w:val="005B595D"/>
    <w:rsid w:val="005C0566"/>
    <w:rsid w:val="005C252E"/>
    <w:rsid w:val="005C26FB"/>
    <w:rsid w:val="005C3A70"/>
    <w:rsid w:val="005C43A5"/>
    <w:rsid w:val="005C5DFA"/>
    <w:rsid w:val="005C6CA8"/>
    <w:rsid w:val="005D04A1"/>
    <w:rsid w:val="005D4BDF"/>
    <w:rsid w:val="005D6800"/>
    <w:rsid w:val="005E03D0"/>
    <w:rsid w:val="005E6755"/>
    <w:rsid w:val="005F048A"/>
    <w:rsid w:val="005F0A61"/>
    <w:rsid w:val="005F22A7"/>
    <w:rsid w:val="005F51B5"/>
    <w:rsid w:val="00601D98"/>
    <w:rsid w:val="006027D4"/>
    <w:rsid w:val="006054FE"/>
    <w:rsid w:val="00605DE1"/>
    <w:rsid w:val="006076B2"/>
    <w:rsid w:val="006079F8"/>
    <w:rsid w:val="006113F7"/>
    <w:rsid w:val="00620F29"/>
    <w:rsid w:val="00622CDC"/>
    <w:rsid w:val="0062734D"/>
    <w:rsid w:val="006302A5"/>
    <w:rsid w:val="00635947"/>
    <w:rsid w:val="00635C52"/>
    <w:rsid w:val="006404CC"/>
    <w:rsid w:val="00641173"/>
    <w:rsid w:val="00641902"/>
    <w:rsid w:val="00643639"/>
    <w:rsid w:val="00650770"/>
    <w:rsid w:val="00654CBC"/>
    <w:rsid w:val="00657D69"/>
    <w:rsid w:val="0066000B"/>
    <w:rsid w:val="00660FEF"/>
    <w:rsid w:val="00662E3F"/>
    <w:rsid w:val="006669FA"/>
    <w:rsid w:val="00670CC7"/>
    <w:rsid w:val="00671995"/>
    <w:rsid w:val="00671A07"/>
    <w:rsid w:val="00671D9E"/>
    <w:rsid w:val="00672949"/>
    <w:rsid w:val="00674054"/>
    <w:rsid w:val="00680622"/>
    <w:rsid w:val="006808D8"/>
    <w:rsid w:val="00683677"/>
    <w:rsid w:val="00685B63"/>
    <w:rsid w:val="00686C78"/>
    <w:rsid w:val="00687BD3"/>
    <w:rsid w:val="00692578"/>
    <w:rsid w:val="00693B6F"/>
    <w:rsid w:val="006946C4"/>
    <w:rsid w:val="0069660F"/>
    <w:rsid w:val="006969CE"/>
    <w:rsid w:val="006A495C"/>
    <w:rsid w:val="006B479D"/>
    <w:rsid w:val="006B516C"/>
    <w:rsid w:val="006C0C58"/>
    <w:rsid w:val="006C2497"/>
    <w:rsid w:val="006C27BF"/>
    <w:rsid w:val="006C5321"/>
    <w:rsid w:val="006C57A6"/>
    <w:rsid w:val="006C57E0"/>
    <w:rsid w:val="006C7493"/>
    <w:rsid w:val="006D22DE"/>
    <w:rsid w:val="006D4B60"/>
    <w:rsid w:val="006D4DB6"/>
    <w:rsid w:val="006D5ADF"/>
    <w:rsid w:val="006E034B"/>
    <w:rsid w:val="006E17EA"/>
    <w:rsid w:val="006E2159"/>
    <w:rsid w:val="006E35AB"/>
    <w:rsid w:val="006E4CD0"/>
    <w:rsid w:val="006E5E47"/>
    <w:rsid w:val="006E75DD"/>
    <w:rsid w:val="006F0280"/>
    <w:rsid w:val="006F722A"/>
    <w:rsid w:val="00700079"/>
    <w:rsid w:val="00701FE1"/>
    <w:rsid w:val="00704D04"/>
    <w:rsid w:val="00705EA9"/>
    <w:rsid w:val="00706E68"/>
    <w:rsid w:val="00707349"/>
    <w:rsid w:val="00713F40"/>
    <w:rsid w:val="007158A7"/>
    <w:rsid w:val="00716405"/>
    <w:rsid w:val="00716F41"/>
    <w:rsid w:val="00720049"/>
    <w:rsid w:val="00720AB8"/>
    <w:rsid w:val="00721F93"/>
    <w:rsid w:val="00724219"/>
    <w:rsid w:val="00725B1E"/>
    <w:rsid w:val="00731F91"/>
    <w:rsid w:val="00734C22"/>
    <w:rsid w:val="00735634"/>
    <w:rsid w:val="00736758"/>
    <w:rsid w:val="00741DE6"/>
    <w:rsid w:val="007512AF"/>
    <w:rsid w:val="00751AFF"/>
    <w:rsid w:val="00754342"/>
    <w:rsid w:val="00756F76"/>
    <w:rsid w:val="00760352"/>
    <w:rsid w:val="0076130D"/>
    <w:rsid w:val="0076362A"/>
    <w:rsid w:val="00763E2E"/>
    <w:rsid w:val="0077391C"/>
    <w:rsid w:val="00775A78"/>
    <w:rsid w:val="00785784"/>
    <w:rsid w:val="00787B55"/>
    <w:rsid w:val="007925C2"/>
    <w:rsid w:val="00796DC6"/>
    <w:rsid w:val="007972AC"/>
    <w:rsid w:val="007A1E5D"/>
    <w:rsid w:val="007A4F8A"/>
    <w:rsid w:val="007A5505"/>
    <w:rsid w:val="007A5B6C"/>
    <w:rsid w:val="007B0F5A"/>
    <w:rsid w:val="007B14DB"/>
    <w:rsid w:val="007B23C1"/>
    <w:rsid w:val="007B5A3C"/>
    <w:rsid w:val="007B67D8"/>
    <w:rsid w:val="007B6DF5"/>
    <w:rsid w:val="007B77A0"/>
    <w:rsid w:val="007C0028"/>
    <w:rsid w:val="007C00CB"/>
    <w:rsid w:val="007C1A5C"/>
    <w:rsid w:val="007C2B3C"/>
    <w:rsid w:val="007C3C3B"/>
    <w:rsid w:val="007C433E"/>
    <w:rsid w:val="007C56FA"/>
    <w:rsid w:val="007C62D0"/>
    <w:rsid w:val="007D0281"/>
    <w:rsid w:val="007D1896"/>
    <w:rsid w:val="007D4E54"/>
    <w:rsid w:val="007D6B31"/>
    <w:rsid w:val="007D72FA"/>
    <w:rsid w:val="007E305E"/>
    <w:rsid w:val="007E3CBA"/>
    <w:rsid w:val="007F07F6"/>
    <w:rsid w:val="007F2AAF"/>
    <w:rsid w:val="007F3311"/>
    <w:rsid w:val="007F37D1"/>
    <w:rsid w:val="007F6FAC"/>
    <w:rsid w:val="00803F66"/>
    <w:rsid w:val="00806B51"/>
    <w:rsid w:val="00810206"/>
    <w:rsid w:val="008113D1"/>
    <w:rsid w:val="00812A95"/>
    <w:rsid w:val="00813F1E"/>
    <w:rsid w:val="00815466"/>
    <w:rsid w:val="008200A9"/>
    <w:rsid w:val="00823F6D"/>
    <w:rsid w:val="00824BAB"/>
    <w:rsid w:val="008255E5"/>
    <w:rsid w:val="008310AF"/>
    <w:rsid w:val="0083175E"/>
    <w:rsid w:val="0083273E"/>
    <w:rsid w:val="0083327A"/>
    <w:rsid w:val="0083529D"/>
    <w:rsid w:val="008355C8"/>
    <w:rsid w:val="00835B62"/>
    <w:rsid w:val="008378CD"/>
    <w:rsid w:val="00837B34"/>
    <w:rsid w:val="00840DD2"/>
    <w:rsid w:val="00840FEA"/>
    <w:rsid w:val="00844936"/>
    <w:rsid w:val="0084544C"/>
    <w:rsid w:val="00846C96"/>
    <w:rsid w:val="008473D0"/>
    <w:rsid w:val="00851A1A"/>
    <w:rsid w:val="00852565"/>
    <w:rsid w:val="00855777"/>
    <w:rsid w:val="00857B26"/>
    <w:rsid w:val="008625B4"/>
    <w:rsid w:val="008627B1"/>
    <w:rsid w:val="008653A3"/>
    <w:rsid w:val="008678D1"/>
    <w:rsid w:val="008733B2"/>
    <w:rsid w:val="00873FEE"/>
    <w:rsid w:val="008740C7"/>
    <w:rsid w:val="00874451"/>
    <w:rsid w:val="00875687"/>
    <w:rsid w:val="00875B3B"/>
    <w:rsid w:val="00877C82"/>
    <w:rsid w:val="00880370"/>
    <w:rsid w:val="00880C86"/>
    <w:rsid w:val="00883F0A"/>
    <w:rsid w:val="00887C69"/>
    <w:rsid w:val="0089283A"/>
    <w:rsid w:val="00893BE1"/>
    <w:rsid w:val="00894989"/>
    <w:rsid w:val="008A249C"/>
    <w:rsid w:val="008A27AB"/>
    <w:rsid w:val="008A350C"/>
    <w:rsid w:val="008A4A09"/>
    <w:rsid w:val="008A56D2"/>
    <w:rsid w:val="008A5E1F"/>
    <w:rsid w:val="008B20DF"/>
    <w:rsid w:val="008B424F"/>
    <w:rsid w:val="008B439B"/>
    <w:rsid w:val="008B587B"/>
    <w:rsid w:val="008B5B3F"/>
    <w:rsid w:val="008C17FB"/>
    <w:rsid w:val="008C292D"/>
    <w:rsid w:val="008C4C92"/>
    <w:rsid w:val="008C65D4"/>
    <w:rsid w:val="008C72FD"/>
    <w:rsid w:val="008D1A56"/>
    <w:rsid w:val="008D3EDE"/>
    <w:rsid w:val="008D6581"/>
    <w:rsid w:val="008D6828"/>
    <w:rsid w:val="008D69EC"/>
    <w:rsid w:val="008E193B"/>
    <w:rsid w:val="008E2210"/>
    <w:rsid w:val="008F06FC"/>
    <w:rsid w:val="008F39EA"/>
    <w:rsid w:val="008F613F"/>
    <w:rsid w:val="008F7511"/>
    <w:rsid w:val="009028B1"/>
    <w:rsid w:val="00904F19"/>
    <w:rsid w:val="00905095"/>
    <w:rsid w:val="009069E4"/>
    <w:rsid w:val="00910671"/>
    <w:rsid w:val="009109CB"/>
    <w:rsid w:val="009121C4"/>
    <w:rsid w:val="00912E02"/>
    <w:rsid w:val="00913766"/>
    <w:rsid w:val="00915F94"/>
    <w:rsid w:val="009163CC"/>
    <w:rsid w:val="00920086"/>
    <w:rsid w:val="00920A45"/>
    <w:rsid w:val="00921BB9"/>
    <w:rsid w:val="00925452"/>
    <w:rsid w:val="00926ECB"/>
    <w:rsid w:val="00927D1B"/>
    <w:rsid w:val="0093071A"/>
    <w:rsid w:val="009326A0"/>
    <w:rsid w:val="00933022"/>
    <w:rsid w:val="00935233"/>
    <w:rsid w:val="00935934"/>
    <w:rsid w:val="00937CCE"/>
    <w:rsid w:val="0094137E"/>
    <w:rsid w:val="00942BBE"/>
    <w:rsid w:val="0094408C"/>
    <w:rsid w:val="009456A4"/>
    <w:rsid w:val="00951D8D"/>
    <w:rsid w:val="0095241D"/>
    <w:rsid w:val="00952C69"/>
    <w:rsid w:val="00954BB4"/>
    <w:rsid w:val="00954E8E"/>
    <w:rsid w:val="009602AB"/>
    <w:rsid w:val="009603BC"/>
    <w:rsid w:val="00962E5F"/>
    <w:rsid w:val="009652F0"/>
    <w:rsid w:val="009660F4"/>
    <w:rsid w:val="00967042"/>
    <w:rsid w:val="009761F0"/>
    <w:rsid w:val="009769B8"/>
    <w:rsid w:val="00980558"/>
    <w:rsid w:val="0098497E"/>
    <w:rsid w:val="00991BD8"/>
    <w:rsid w:val="00993095"/>
    <w:rsid w:val="00993DC1"/>
    <w:rsid w:val="009952FB"/>
    <w:rsid w:val="00996F5F"/>
    <w:rsid w:val="009A38D0"/>
    <w:rsid w:val="009A3C62"/>
    <w:rsid w:val="009A3D37"/>
    <w:rsid w:val="009A3DBD"/>
    <w:rsid w:val="009A6197"/>
    <w:rsid w:val="009B0955"/>
    <w:rsid w:val="009B2671"/>
    <w:rsid w:val="009B305F"/>
    <w:rsid w:val="009B46BD"/>
    <w:rsid w:val="009B4826"/>
    <w:rsid w:val="009B7F5A"/>
    <w:rsid w:val="009C1FD2"/>
    <w:rsid w:val="009C25AE"/>
    <w:rsid w:val="009C353A"/>
    <w:rsid w:val="009C4DF9"/>
    <w:rsid w:val="009C6E50"/>
    <w:rsid w:val="009D160A"/>
    <w:rsid w:val="009D1D95"/>
    <w:rsid w:val="009D30C4"/>
    <w:rsid w:val="009D326B"/>
    <w:rsid w:val="009D34D7"/>
    <w:rsid w:val="009D38E1"/>
    <w:rsid w:val="009D4807"/>
    <w:rsid w:val="009D4E9C"/>
    <w:rsid w:val="009D6C88"/>
    <w:rsid w:val="009D76C0"/>
    <w:rsid w:val="009E260C"/>
    <w:rsid w:val="009E2B00"/>
    <w:rsid w:val="009E38F6"/>
    <w:rsid w:val="009E3CB0"/>
    <w:rsid w:val="009E4BCE"/>
    <w:rsid w:val="009E5E00"/>
    <w:rsid w:val="009E6356"/>
    <w:rsid w:val="009F23E9"/>
    <w:rsid w:val="009F7E70"/>
    <w:rsid w:val="00A00578"/>
    <w:rsid w:val="00A0168C"/>
    <w:rsid w:val="00A019B1"/>
    <w:rsid w:val="00A02A93"/>
    <w:rsid w:val="00A04A6D"/>
    <w:rsid w:val="00A07178"/>
    <w:rsid w:val="00A12FC3"/>
    <w:rsid w:val="00A13434"/>
    <w:rsid w:val="00A146AE"/>
    <w:rsid w:val="00A201EC"/>
    <w:rsid w:val="00A20E24"/>
    <w:rsid w:val="00A21138"/>
    <w:rsid w:val="00A22D51"/>
    <w:rsid w:val="00A2462C"/>
    <w:rsid w:val="00A25286"/>
    <w:rsid w:val="00A27BB5"/>
    <w:rsid w:val="00A304B8"/>
    <w:rsid w:val="00A314D8"/>
    <w:rsid w:val="00A32477"/>
    <w:rsid w:val="00A34104"/>
    <w:rsid w:val="00A36B2C"/>
    <w:rsid w:val="00A37FD3"/>
    <w:rsid w:val="00A418C7"/>
    <w:rsid w:val="00A41C43"/>
    <w:rsid w:val="00A429B1"/>
    <w:rsid w:val="00A429B8"/>
    <w:rsid w:val="00A42CA7"/>
    <w:rsid w:val="00A4352F"/>
    <w:rsid w:val="00A447CF"/>
    <w:rsid w:val="00A500E1"/>
    <w:rsid w:val="00A50C51"/>
    <w:rsid w:val="00A609C1"/>
    <w:rsid w:val="00A64CD3"/>
    <w:rsid w:val="00A655F6"/>
    <w:rsid w:val="00A65792"/>
    <w:rsid w:val="00A65A6B"/>
    <w:rsid w:val="00A65EEF"/>
    <w:rsid w:val="00A66261"/>
    <w:rsid w:val="00A66652"/>
    <w:rsid w:val="00A669CE"/>
    <w:rsid w:val="00A66F38"/>
    <w:rsid w:val="00A71340"/>
    <w:rsid w:val="00A720F0"/>
    <w:rsid w:val="00A728F2"/>
    <w:rsid w:val="00A7366A"/>
    <w:rsid w:val="00A7415F"/>
    <w:rsid w:val="00A77582"/>
    <w:rsid w:val="00A805E0"/>
    <w:rsid w:val="00A84A0B"/>
    <w:rsid w:val="00A867FD"/>
    <w:rsid w:val="00A9031E"/>
    <w:rsid w:val="00A90326"/>
    <w:rsid w:val="00A90BE3"/>
    <w:rsid w:val="00A9178E"/>
    <w:rsid w:val="00A92124"/>
    <w:rsid w:val="00A92487"/>
    <w:rsid w:val="00A92DD0"/>
    <w:rsid w:val="00AA5D0F"/>
    <w:rsid w:val="00AB0538"/>
    <w:rsid w:val="00AB1F67"/>
    <w:rsid w:val="00AB57AD"/>
    <w:rsid w:val="00AB5FED"/>
    <w:rsid w:val="00AB6328"/>
    <w:rsid w:val="00AB73FC"/>
    <w:rsid w:val="00AC05E6"/>
    <w:rsid w:val="00AC24B2"/>
    <w:rsid w:val="00AC2F71"/>
    <w:rsid w:val="00AC37F4"/>
    <w:rsid w:val="00AC62E3"/>
    <w:rsid w:val="00AE1D88"/>
    <w:rsid w:val="00AE414C"/>
    <w:rsid w:val="00AE4C86"/>
    <w:rsid w:val="00AE5746"/>
    <w:rsid w:val="00AE616C"/>
    <w:rsid w:val="00AE73B2"/>
    <w:rsid w:val="00AF3C30"/>
    <w:rsid w:val="00AF5AD4"/>
    <w:rsid w:val="00AF7432"/>
    <w:rsid w:val="00B002CC"/>
    <w:rsid w:val="00B01701"/>
    <w:rsid w:val="00B02005"/>
    <w:rsid w:val="00B03CF6"/>
    <w:rsid w:val="00B03D35"/>
    <w:rsid w:val="00B04380"/>
    <w:rsid w:val="00B04FA4"/>
    <w:rsid w:val="00B07288"/>
    <w:rsid w:val="00B1201A"/>
    <w:rsid w:val="00B125BA"/>
    <w:rsid w:val="00B12BFE"/>
    <w:rsid w:val="00B14759"/>
    <w:rsid w:val="00B14EA7"/>
    <w:rsid w:val="00B1560A"/>
    <w:rsid w:val="00B176AC"/>
    <w:rsid w:val="00B20AD3"/>
    <w:rsid w:val="00B2424B"/>
    <w:rsid w:val="00B30030"/>
    <w:rsid w:val="00B33774"/>
    <w:rsid w:val="00B34844"/>
    <w:rsid w:val="00B34AB0"/>
    <w:rsid w:val="00B35585"/>
    <w:rsid w:val="00B40855"/>
    <w:rsid w:val="00B41951"/>
    <w:rsid w:val="00B427C2"/>
    <w:rsid w:val="00B4545F"/>
    <w:rsid w:val="00B5431A"/>
    <w:rsid w:val="00B54F26"/>
    <w:rsid w:val="00B619A3"/>
    <w:rsid w:val="00B62054"/>
    <w:rsid w:val="00B634D2"/>
    <w:rsid w:val="00B63A07"/>
    <w:rsid w:val="00B70359"/>
    <w:rsid w:val="00B75D7D"/>
    <w:rsid w:val="00B80C07"/>
    <w:rsid w:val="00B833A8"/>
    <w:rsid w:val="00B83DC3"/>
    <w:rsid w:val="00B83EC4"/>
    <w:rsid w:val="00B8404B"/>
    <w:rsid w:val="00B87953"/>
    <w:rsid w:val="00B940E8"/>
    <w:rsid w:val="00B95473"/>
    <w:rsid w:val="00B95EA4"/>
    <w:rsid w:val="00B96BAA"/>
    <w:rsid w:val="00B96CAE"/>
    <w:rsid w:val="00BA0872"/>
    <w:rsid w:val="00BA0ECF"/>
    <w:rsid w:val="00BA28B9"/>
    <w:rsid w:val="00BA2DB8"/>
    <w:rsid w:val="00BA40EC"/>
    <w:rsid w:val="00BA7EA9"/>
    <w:rsid w:val="00BB2894"/>
    <w:rsid w:val="00BB57C2"/>
    <w:rsid w:val="00BB5EF9"/>
    <w:rsid w:val="00BB67AE"/>
    <w:rsid w:val="00BB7024"/>
    <w:rsid w:val="00BC17BB"/>
    <w:rsid w:val="00BC1919"/>
    <w:rsid w:val="00BC4292"/>
    <w:rsid w:val="00BC4E8B"/>
    <w:rsid w:val="00BC6E11"/>
    <w:rsid w:val="00BD068F"/>
    <w:rsid w:val="00BD4104"/>
    <w:rsid w:val="00BD6606"/>
    <w:rsid w:val="00BD6E8A"/>
    <w:rsid w:val="00BE28A4"/>
    <w:rsid w:val="00BE33CD"/>
    <w:rsid w:val="00BE3E8D"/>
    <w:rsid w:val="00BE43C4"/>
    <w:rsid w:val="00BF02C2"/>
    <w:rsid w:val="00BF1EB0"/>
    <w:rsid w:val="00BF2E2E"/>
    <w:rsid w:val="00BF7D4D"/>
    <w:rsid w:val="00C01403"/>
    <w:rsid w:val="00C0253F"/>
    <w:rsid w:val="00C0335E"/>
    <w:rsid w:val="00C0531E"/>
    <w:rsid w:val="00C0648F"/>
    <w:rsid w:val="00C06542"/>
    <w:rsid w:val="00C06D71"/>
    <w:rsid w:val="00C126D1"/>
    <w:rsid w:val="00C16107"/>
    <w:rsid w:val="00C163AD"/>
    <w:rsid w:val="00C16554"/>
    <w:rsid w:val="00C2068F"/>
    <w:rsid w:val="00C224B9"/>
    <w:rsid w:val="00C2361D"/>
    <w:rsid w:val="00C2474F"/>
    <w:rsid w:val="00C2524B"/>
    <w:rsid w:val="00C3597B"/>
    <w:rsid w:val="00C43B84"/>
    <w:rsid w:val="00C4631D"/>
    <w:rsid w:val="00C50D83"/>
    <w:rsid w:val="00C56C7E"/>
    <w:rsid w:val="00C57B73"/>
    <w:rsid w:val="00C63B76"/>
    <w:rsid w:val="00C64BE1"/>
    <w:rsid w:val="00C66835"/>
    <w:rsid w:val="00C70698"/>
    <w:rsid w:val="00C70FDA"/>
    <w:rsid w:val="00C71326"/>
    <w:rsid w:val="00C71B6E"/>
    <w:rsid w:val="00C77F0E"/>
    <w:rsid w:val="00C80C2A"/>
    <w:rsid w:val="00C812BF"/>
    <w:rsid w:val="00C861E3"/>
    <w:rsid w:val="00C87ED4"/>
    <w:rsid w:val="00C90309"/>
    <w:rsid w:val="00C91F7F"/>
    <w:rsid w:val="00C92BCF"/>
    <w:rsid w:val="00C94DE4"/>
    <w:rsid w:val="00C950EB"/>
    <w:rsid w:val="00C95598"/>
    <w:rsid w:val="00CA2089"/>
    <w:rsid w:val="00CA20A7"/>
    <w:rsid w:val="00CA25EC"/>
    <w:rsid w:val="00CA3787"/>
    <w:rsid w:val="00CA648B"/>
    <w:rsid w:val="00CB03F7"/>
    <w:rsid w:val="00CB0B41"/>
    <w:rsid w:val="00CB1B20"/>
    <w:rsid w:val="00CB2AFC"/>
    <w:rsid w:val="00CB43B8"/>
    <w:rsid w:val="00CB4D12"/>
    <w:rsid w:val="00CB65E5"/>
    <w:rsid w:val="00CB6EF3"/>
    <w:rsid w:val="00CC0A54"/>
    <w:rsid w:val="00CC1F45"/>
    <w:rsid w:val="00CC212F"/>
    <w:rsid w:val="00CC33BD"/>
    <w:rsid w:val="00CC3F56"/>
    <w:rsid w:val="00CC6CB6"/>
    <w:rsid w:val="00CD0F65"/>
    <w:rsid w:val="00CD1F81"/>
    <w:rsid w:val="00CD3AF8"/>
    <w:rsid w:val="00CD41A8"/>
    <w:rsid w:val="00CD514B"/>
    <w:rsid w:val="00CD517A"/>
    <w:rsid w:val="00CD568D"/>
    <w:rsid w:val="00CD5D63"/>
    <w:rsid w:val="00CD5EF8"/>
    <w:rsid w:val="00CD6752"/>
    <w:rsid w:val="00CD7DC5"/>
    <w:rsid w:val="00CE08B9"/>
    <w:rsid w:val="00CE140F"/>
    <w:rsid w:val="00CE2E7C"/>
    <w:rsid w:val="00CE4EF2"/>
    <w:rsid w:val="00CE72AD"/>
    <w:rsid w:val="00CF1DBB"/>
    <w:rsid w:val="00CF1E92"/>
    <w:rsid w:val="00CF2990"/>
    <w:rsid w:val="00CF2BD4"/>
    <w:rsid w:val="00CF7A92"/>
    <w:rsid w:val="00D0432F"/>
    <w:rsid w:val="00D05FF5"/>
    <w:rsid w:val="00D11375"/>
    <w:rsid w:val="00D11E02"/>
    <w:rsid w:val="00D1275D"/>
    <w:rsid w:val="00D13DA4"/>
    <w:rsid w:val="00D14E0A"/>
    <w:rsid w:val="00D15A03"/>
    <w:rsid w:val="00D16610"/>
    <w:rsid w:val="00D17094"/>
    <w:rsid w:val="00D17D9B"/>
    <w:rsid w:val="00D2084A"/>
    <w:rsid w:val="00D24CE7"/>
    <w:rsid w:val="00D25045"/>
    <w:rsid w:val="00D258A9"/>
    <w:rsid w:val="00D34D35"/>
    <w:rsid w:val="00D375A3"/>
    <w:rsid w:val="00D4092C"/>
    <w:rsid w:val="00D409E7"/>
    <w:rsid w:val="00D4383D"/>
    <w:rsid w:val="00D4625C"/>
    <w:rsid w:val="00D50DED"/>
    <w:rsid w:val="00D51409"/>
    <w:rsid w:val="00D542B7"/>
    <w:rsid w:val="00D5589D"/>
    <w:rsid w:val="00D57ADE"/>
    <w:rsid w:val="00D61EC5"/>
    <w:rsid w:val="00D63030"/>
    <w:rsid w:val="00D63323"/>
    <w:rsid w:val="00D64C8D"/>
    <w:rsid w:val="00D747FA"/>
    <w:rsid w:val="00D74F06"/>
    <w:rsid w:val="00D761FD"/>
    <w:rsid w:val="00D76A00"/>
    <w:rsid w:val="00D77F98"/>
    <w:rsid w:val="00D83447"/>
    <w:rsid w:val="00D860FF"/>
    <w:rsid w:val="00D861FA"/>
    <w:rsid w:val="00D87BB6"/>
    <w:rsid w:val="00D87DEA"/>
    <w:rsid w:val="00D905BC"/>
    <w:rsid w:val="00D909E3"/>
    <w:rsid w:val="00D961B2"/>
    <w:rsid w:val="00DA3522"/>
    <w:rsid w:val="00DA554A"/>
    <w:rsid w:val="00DA5D20"/>
    <w:rsid w:val="00DA6287"/>
    <w:rsid w:val="00DB1F10"/>
    <w:rsid w:val="00DB2585"/>
    <w:rsid w:val="00DB490D"/>
    <w:rsid w:val="00DB4BC4"/>
    <w:rsid w:val="00DB6DEC"/>
    <w:rsid w:val="00DC24F7"/>
    <w:rsid w:val="00DC2E5F"/>
    <w:rsid w:val="00DC37AA"/>
    <w:rsid w:val="00DC54C8"/>
    <w:rsid w:val="00DC565B"/>
    <w:rsid w:val="00DD1C14"/>
    <w:rsid w:val="00DD32C2"/>
    <w:rsid w:val="00DD42CE"/>
    <w:rsid w:val="00DD58A2"/>
    <w:rsid w:val="00DD6D6C"/>
    <w:rsid w:val="00DD7F3C"/>
    <w:rsid w:val="00DE01B6"/>
    <w:rsid w:val="00DE1A55"/>
    <w:rsid w:val="00DE2C6B"/>
    <w:rsid w:val="00DE2E11"/>
    <w:rsid w:val="00DE3BDF"/>
    <w:rsid w:val="00DE4DDD"/>
    <w:rsid w:val="00DF058A"/>
    <w:rsid w:val="00DF06E4"/>
    <w:rsid w:val="00DF1777"/>
    <w:rsid w:val="00DF1E8B"/>
    <w:rsid w:val="00DF2BDE"/>
    <w:rsid w:val="00DF6622"/>
    <w:rsid w:val="00DF6907"/>
    <w:rsid w:val="00DF6BA1"/>
    <w:rsid w:val="00DF6E95"/>
    <w:rsid w:val="00DF6F45"/>
    <w:rsid w:val="00E006EB"/>
    <w:rsid w:val="00E04EEC"/>
    <w:rsid w:val="00E14298"/>
    <w:rsid w:val="00E16FE0"/>
    <w:rsid w:val="00E17439"/>
    <w:rsid w:val="00E23B21"/>
    <w:rsid w:val="00E23BA6"/>
    <w:rsid w:val="00E262AC"/>
    <w:rsid w:val="00E268FD"/>
    <w:rsid w:val="00E26DE8"/>
    <w:rsid w:val="00E27D4D"/>
    <w:rsid w:val="00E32EA4"/>
    <w:rsid w:val="00E3339D"/>
    <w:rsid w:val="00E3397B"/>
    <w:rsid w:val="00E36E29"/>
    <w:rsid w:val="00E40995"/>
    <w:rsid w:val="00E43479"/>
    <w:rsid w:val="00E447E4"/>
    <w:rsid w:val="00E47A91"/>
    <w:rsid w:val="00E535EF"/>
    <w:rsid w:val="00E536F8"/>
    <w:rsid w:val="00E57157"/>
    <w:rsid w:val="00E577BB"/>
    <w:rsid w:val="00E6128C"/>
    <w:rsid w:val="00E63756"/>
    <w:rsid w:val="00E67FC0"/>
    <w:rsid w:val="00E70FCA"/>
    <w:rsid w:val="00E737DE"/>
    <w:rsid w:val="00E73C41"/>
    <w:rsid w:val="00E756D8"/>
    <w:rsid w:val="00E75A08"/>
    <w:rsid w:val="00E80E7B"/>
    <w:rsid w:val="00E852A7"/>
    <w:rsid w:val="00E90A96"/>
    <w:rsid w:val="00E9216F"/>
    <w:rsid w:val="00E9338B"/>
    <w:rsid w:val="00E97653"/>
    <w:rsid w:val="00E97F7F"/>
    <w:rsid w:val="00EA06AE"/>
    <w:rsid w:val="00EA0800"/>
    <w:rsid w:val="00EA0BC8"/>
    <w:rsid w:val="00EA438A"/>
    <w:rsid w:val="00EA4480"/>
    <w:rsid w:val="00EA6B68"/>
    <w:rsid w:val="00EB1B09"/>
    <w:rsid w:val="00EB3345"/>
    <w:rsid w:val="00EB3862"/>
    <w:rsid w:val="00EB475D"/>
    <w:rsid w:val="00EB60E0"/>
    <w:rsid w:val="00EB71AB"/>
    <w:rsid w:val="00EC05AE"/>
    <w:rsid w:val="00EC41B0"/>
    <w:rsid w:val="00EC7E28"/>
    <w:rsid w:val="00ED04E9"/>
    <w:rsid w:val="00ED27D9"/>
    <w:rsid w:val="00ED4E57"/>
    <w:rsid w:val="00ED5B6E"/>
    <w:rsid w:val="00ED5CFB"/>
    <w:rsid w:val="00ED5F66"/>
    <w:rsid w:val="00ED63E4"/>
    <w:rsid w:val="00ED651C"/>
    <w:rsid w:val="00EE089B"/>
    <w:rsid w:val="00EE0E6A"/>
    <w:rsid w:val="00EE225D"/>
    <w:rsid w:val="00EE29FF"/>
    <w:rsid w:val="00EE4325"/>
    <w:rsid w:val="00EE4550"/>
    <w:rsid w:val="00EE46D9"/>
    <w:rsid w:val="00EE5EC3"/>
    <w:rsid w:val="00EE7B83"/>
    <w:rsid w:val="00EF029E"/>
    <w:rsid w:val="00EF37AE"/>
    <w:rsid w:val="00EF5CEB"/>
    <w:rsid w:val="00EF721B"/>
    <w:rsid w:val="00F01FAA"/>
    <w:rsid w:val="00F02294"/>
    <w:rsid w:val="00F06BED"/>
    <w:rsid w:val="00F07842"/>
    <w:rsid w:val="00F1013E"/>
    <w:rsid w:val="00F14B8F"/>
    <w:rsid w:val="00F16F76"/>
    <w:rsid w:val="00F17A31"/>
    <w:rsid w:val="00F21CAC"/>
    <w:rsid w:val="00F24CA7"/>
    <w:rsid w:val="00F26073"/>
    <w:rsid w:val="00F2612E"/>
    <w:rsid w:val="00F30264"/>
    <w:rsid w:val="00F337CA"/>
    <w:rsid w:val="00F34EA4"/>
    <w:rsid w:val="00F34ED6"/>
    <w:rsid w:val="00F35BA4"/>
    <w:rsid w:val="00F35E92"/>
    <w:rsid w:val="00F36D0D"/>
    <w:rsid w:val="00F3782D"/>
    <w:rsid w:val="00F403BF"/>
    <w:rsid w:val="00F42858"/>
    <w:rsid w:val="00F5017A"/>
    <w:rsid w:val="00F5137A"/>
    <w:rsid w:val="00F524E5"/>
    <w:rsid w:val="00F527DE"/>
    <w:rsid w:val="00F560FA"/>
    <w:rsid w:val="00F57154"/>
    <w:rsid w:val="00F57179"/>
    <w:rsid w:val="00F600A4"/>
    <w:rsid w:val="00F602A4"/>
    <w:rsid w:val="00F616E2"/>
    <w:rsid w:val="00F61B4D"/>
    <w:rsid w:val="00F62DF9"/>
    <w:rsid w:val="00F6513B"/>
    <w:rsid w:val="00F67804"/>
    <w:rsid w:val="00F7190D"/>
    <w:rsid w:val="00F73DC3"/>
    <w:rsid w:val="00F7625C"/>
    <w:rsid w:val="00F777F4"/>
    <w:rsid w:val="00F82049"/>
    <w:rsid w:val="00F83910"/>
    <w:rsid w:val="00F85D48"/>
    <w:rsid w:val="00F91DF4"/>
    <w:rsid w:val="00F97C4C"/>
    <w:rsid w:val="00FA075F"/>
    <w:rsid w:val="00FA076D"/>
    <w:rsid w:val="00FA1CCA"/>
    <w:rsid w:val="00FA4B4A"/>
    <w:rsid w:val="00FA4CFD"/>
    <w:rsid w:val="00FA5377"/>
    <w:rsid w:val="00FA767C"/>
    <w:rsid w:val="00FB212F"/>
    <w:rsid w:val="00FB37F5"/>
    <w:rsid w:val="00FB4477"/>
    <w:rsid w:val="00FB6F2A"/>
    <w:rsid w:val="00FC39CB"/>
    <w:rsid w:val="00FC3D3A"/>
    <w:rsid w:val="00FC41F6"/>
    <w:rsid w:val="00FC556C"/>
    <w:rsid w:val="00FC58AA"/>
    <w:rsid w:val="00FC7801"/>
    <w:rsid w:val="00FC7BAB"/>
    <w:rsid w:val="00FD34BA"/>
    <w:rsid w:val="00FD609F"/>
    <w:rsid w:val="00FD61A7"/>
    <w:rsid w:val="00FD662E"/>
    <w:rsid w:val="00FD7C61"/>
    <w:rsid w:val="00FE044A"/>
    <w:rsid w:val="00FE190F"/>
    <w:rsid w:val="00FE38C5"/>
    <w:rsid w:val="00FE3B86"/>
    <w:rsid w:val="00FE4815"/>
    <w:rsid w:val="00FE766C"/>
    <w:rsid w:val="00FF0126"/>
    <w:rsid w:val="00FF0CF0"/>
    <w:rsid w:val="00FF168A"/>
    <w:rsid w:val="00FF1CEB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B0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63F025A0F4151C9B3E3BAC2DBE4529&amp;req=doc&amp;base=RZR&amp;n=335269&amp;dst=16734&amp;fld=134&amp;date=30.04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DB63F025A0F4151C9B3E3BAC2DBE4529&amp;req=doc&amp;base=RZR&amp;n=335269&amp;dst=16734&amp;fld=134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AADF-A092-4CFA-8CC9-2040DE79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4787</TotalTime>
  <Pages>16</Pages>
  <Words>5509</Words>
  <Characters>31406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1331</cp:revision>
  <cp:lastPrinted>2019-05-22T06:59:00Z</cp:lastPrinted>
  <dcterms:created xsi:type="dcterms:W3CDTF">2018-04-16T15:23:00Z</dcterms:created>
  <dcterms:modified xsi:type="dcterms:W3CDTF">2024-05-29T09:52:00Z</dcterms:modified>
</cp:coreProperties>
</file>