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114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F4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Нивнянско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2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24A8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Нивнянской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 года «О бюджете </w:t>
      </w:r>
      <w:proofErr w:type="spellStart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2024 год и плановый период 2025 и 2026 годов»</w:t>
      </w:r>
      <w:r w:rsidR="001F53A4" w:rsidRPr="001F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1F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 года «О бюджете </w:t>
      </w:r>
      <w:proofErr w:type="spellStart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2024 год и плановый период 2025 и 2026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</w:t>
      </w:r>
      <w:proofErr w:type="gramEnd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 года «О бюджете </w:t>
      </w:r>
      <w:proofErr w:type="spellStart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2024 год и плановый период 2025 и 2026 годов»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C424DE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F63AEE">
        <w:rPr>
          <w:rFonts w:ascii="Times New Roman" w:eastAsia="Times New Roman" w:hAnsi="Times New Roman" w:cs="Times New Roman"/>
          <w:sz w:val="28"/>
          <w:szCs w:val="28"/>
          <w:lang w:eastAsia="ru-RU"/>
        </w:rPr>
        <w:t>2931,0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2931,0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производится перераспределение расходной части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 и составят 2931,0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3019,0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B2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100,0% </w:t>
      </w:r>
      <w:r w:rsidR="00A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360F8D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7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D274AB">
        <w:rPr>
          <w:rFonts w:ascii="Times New Roman" w:eastAsia="Calibri" w:hAnsi="Times New Roman" w:cs="Times New Roman"/>
          <w:sz w:val="28"/>
          <w:szCs w:val="28"/>
        </w:rPr>
        <w:t>4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</w:t>
      </w:r>
      <w:r w:rsidR="003D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4AB">
        <w:rPr>
          <w:rFonts w:ascii="Times New Roman" w:eastAsia="Calibri" w:hAnsi="Times New Roman" w:cs="Times New Roman"/>
          <w:sz w:val="28"/>
          <w:szCs w:val="28"/>
        </w:rPr>
        <w:t>88,0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EB235D">
        <w:rPr>
          <w:rFonts w:ascii="Times New Roman" w:eastAsia="Calibri" w:hAnsi="Times New Roman" w:cs="Times New Roman"/>
          <w:sz w:val="28"/>
          <w:szCs w:val="28"/>
        </w:rPr>
        <w:t>перераспределение  расходов</w:t>
      </w:r>
      <w:r w:rsidR="00B721B4">
        <w:rPr>
          <w:rFonts w:ascii="Times New Roman" w:eastAsia="Calibri" w:hAnsi="Times New Roman" w:cs="Times New Roman"/>
          <w:sz w:val="28"/>
          <w:szCs w:val="28"/>
        </w:rPr>
        <w:t>. Т</w:t>
      </w:r>
      <w:r w:rsidR="00B63AD0">
        <w:rPr>
          <w:rFonts w:ascii="Times New Roman" w:eastAsia="Calibri" w:hAnsi="Times New Roman" w:cs="Times New Roman"/>
          <w:sz w:val="28"/>
          <w:szCs w:val="28"/>
        </w:rPr>
        <w:t>аким образом</w:t>
      </w:r>
      <w:r w:rsidR="00B721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бюджета составит </w:t>
      </w:r>
      <w:r w:rsidR="00D274AB">
        <w:rPr>
          <w:rFonts w:ascii="Times New Roman" w:eastAsia="Calibri" w:hAnsi="Times New Roman" w:cs="Times New Roman"/>
          <w:sz w:val="28"/>
          <w:szCs w:val="28"/>
        </w:rPr>
        <w:t>3019,0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8C14BB" w:rsidRDefault="008C14BB" w:rsidP="008C14B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300A98">
        <w:rPr>
          <w:rFonts w:ascii="Times New Roman" w:eastAsia="Times New Roman" w:hAnsi="Times New Roman" w:cs="Times New Roman"/>
          <w:sz w:val="28"/>
          <w:szCs w:val="28"/>
          <w:lang w:eastAsia="ru-RU"/>
        </w:rPr>
        <w:t>2038,0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0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4BB" w:rsidRDefault="008C14BB" w:rsidP="008C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04 «</w:t>
      </w:r>
      <w:r w:rsidRPr="00C42F5C">
        <w:rPr>
          <w:rFonts w:ascii="Times New Roman" w:hAnsi="Times New Roman"/>
          <w:b/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610D1">
        <w:rPr>
          <w:rFonts w:ascii="Times New Roman" w:eastAsia="Times New Roman" w:hAnsi="Times New Roman" w:cs="Times New Roman"/>
          <w:sz w:val="28"/>
          <w:szCs w:val="28"/>
          <w:lang w:eastAsia="ru-RU"/>
        </w:rPr>
        <w:t>1957,8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A61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71" w:rsidRDefault="00C72571" w:rsidP="00C7257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4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«Резервные фонды»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перенесением по подразделу 1006.</w:t>
      </w:r>
    </w:p>
    <w:p w:rsidR="00482296" w:rsidRDefault="008C14BB" w:rsidP="004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13 «Другие общегосударственные вопросы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41,1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48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11F" w:rsidRDefault="008C14BB" w:rsidP="008D0D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33611F">
        <w:rPr>
          <w:rFonts w:ascii="Times New Roman" w:eastAsia="Times New Roman" w:hAnsi="Times New Roman" w:cs="Times New Roman"/>
          <w:sz w:val="28"/>
          <w:szCs w:val="28"/>
          <w:lang w:eastAsia="ru-RU"/>
        </w:rPr>
        <w:t>121,7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611F">
        <w:rPr>
          <w:rFonts w:ascii="Times New Roman" w:eastAsia="Times New Roman" w:hAnsi="Times New Roman" w:cs="Times New Roman"/>
          <w:sz w:val="28"/>
          <w:szCs w:val="28"/>
          <w:lang w:eastAsia="ru-RU"/>
        </w:rPr>
        <w:t>+28,0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8D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03 «Благоустройство</w:t>
      </w:r>
      <w:r w:rsidRPr="008D0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DA2" w:rsidRDefault="00765DA2" w:rsidP="00765DA2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2243"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A96AF0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х</w:t>
      </w:r>
      <w:r w:rsidRPr="00A96AF0">
        <w:rPr>
          <w:rFonts w:ascii="Times New Roman" w:hAnsi="Times New Roman"/>
          <w:sz w:val="28"/>
          <w:szCs w:val="28"/>
        </w:rPr>
        <w:t xml:space="preserve"> выплат гражданам, кроме публичных нормативных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выплаты из резервного фонда.</w:t>
      </w:r>
    </w:p>
    <w:p w:rsidR="008C14BB" w:rsidRPr="004D334B" w:rsidRDefault="008C14BB" w:rsidP="008C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3361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3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6851A7" w:rsidRDefault="00926B79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167C0B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B06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B0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B" w:rsidRPr="00C245BD" w:rsidRDefault="001F18A6" w:rsidP="008416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 </w:t>
            </w:r>
          </w:p>
          <w:p w:rsidR="001F18A6" w:rsidRPr="00C245BD" w:rsidRDefault="001F18A6" w:rsidP="004A7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957E27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B06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«Реализация полномочий органов местного самоуправления </w:t>
            </w:r>
            <w:proofErr w:type="spellStart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B0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B06DC6" w:rsidP="003829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A6" w:rsidRPr="00C245BD" w:rsidRDefault="00B06DC6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B06DC6" w:rsidP="00B06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8A6" w:rsidRPr="00C245BD" w:rsidRDefault="00B06DC6" w:rsidP="00B06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852A2" w:rsidRPr="004D334B" w:rsidTr="005852A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B06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</w:t>
            </w:r>
            <w:proofErr w:type="spellStart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Нивнянского</w:t>
            </w:r>
            <w:proofErr w:type="spellEnd"/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B0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2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4629CB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Default="00B06DC6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A2" w:rsidRPr="00C245BD" w:rsidRDefault="00B06DC6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Pr="00C245BD" w:rsidRDefault="00B06DC6" w:rsidP="00B06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2A2" w:rsidRDefault="00B06DC6" w:rsidP="00B06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Pr="00BF67CB" w:rsidRDefault="00926B79" w:rsidP="00BF67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62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составит </w:t>
      </w:r>
      <w:r w:rsidR="00B0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,5 тыс. рублей</w:t>
      </w:r>
      <w:r w:rsidR="007A21D7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B06DC6" w:rsidRDefault="00E22865" w:rsidP="00E2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29.12.2023г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5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2865" w:rsidRPr="004D334B" w:rsidRDefault="00B06DC6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2286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сточниками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2286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2286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остатков средств на счетах по учету средств бюджета</w:t>
      </w:r>
      <w:r w:rsid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86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C2203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Предлагаемым к рассмотрению проектом Решения дефицит бюджета 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100%</w:t>
      </w:r>
      <w:r w:rsidR="00B0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88,0 тыс. рублей -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остатков на счете на начало финансового года.</w:t>
      </w:r>
    </w:p>
    <w:p w:rsid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Остаток средств на счете на 01.01.202</w:t>
      </w:r>
      <w:r w:rsidR="0058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составлял </w:t>
      </w:r>
      <w:r w:rsidR="0058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926B79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C2203" w:rsidRP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proofErr w:type="gramEnd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ст. 81 БК РФ – соблюдены.</w:t>
      </w:r>
    </w:p>
    <w:p w:rsidR="004D334B" w:rsidRPr="004D334B" w:rsidRDefault="007A21D7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 года «О бюджете </w:t>
      </w:r>
      <w:proofErr w:type="spellStart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2024 год и плановый период 2025 и 2026 годов»</w:t>
      </w:r>
      <w:r w:rsidR="00FC19C3" w:rsidRPr="00FC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114 от 29.12.2023 года «О бюджете </w:t>
      </w:r>
      <w:proofErr w:type="spellStart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Нивнянского</w:t>
      </w:r>
      <w:proofErr w:type="spellEnd"/>
      <w:r w:rsidR="0058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2024 год и плановый период 2025 и 2026 годов»</w:t>
      </w:r>
      <w:r w:rsidR="00FC19C3" w:rsidRPr="00FC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210B9"/>
    <w:rsid w:val="000355A4"/>
    <w:rsid w:val="00044216"/>
    <w:rsid w:val="000552C5"/>
    <w:rsid w:val="000555D7"/>
    <w:rsid w:val="00063276"/>
    <w:rsid w:val="00067828"/>
    <w:rsid w:val="00082A0D"/>
    <w:rsid w:val="000B19C2"/>
    <w:rsid w:val="000B419E"/>
    <w:rsid w:val="000B4F22"/>
    <w:rsid w:val="000F7018"/>
    <w:rsid w:val="00101C54"/>
    <w:rsid w:val="00102920"/>
    <w:rsid w:val="0010338C"/>
    <w:rsid w:val="001042ED"/>
    <w:rsid w:val="001219EE"/>
    <w:rsid w:val="00124C0B"/>
    <w:rsid w:val="0014293C"/>
    <w:rsid w:val="001635EA"/>
    <w:rsid w:val="00164516"/>
    <w:rsid w:val="00167C0B"/>
    <w:rsid w:val="00170CE8"/>
    <w:rsid w:val="00181E35"/>
    <w:rsid w:val="00187B21"/>
    <w:rsid w:val="0019214E"/>
    <w:rsid w:val="00193CFB"/>
    <w:rsid w:val="00197FCB"/>
    <w:rsid w:val="001B268B"/>
    <w:rsid w:val="001B3902"/>
    <w:rsid w:val="001D421B"/>
    <w:rsid w:val="001D51A9"/>
    <w:rsid w:val="001E1872"/>
    <w:rsid w:val="001F18A6"/>
    <w:rsid w:val="001F53A4"/>
    <w:rsid w:val="00204D92"/>
    <w:rsid w:val="00205D75"/>
    <w:rsid w:val="00241A7F"/>
    <w:rsid w:val="0024370C"/>
    <w:rsid w:val="00256E9A"/>
    <w:rsid w:val="002624A8"/>
    <w:rsid w:val="00264649"/>
    <w:rsid w:val="002815C7"/>
    <w:rsid w:val="0029234E"/>
    <w:rsid w:val="0029379A"/>
    <w:rsid w:val="002B013B"/>
    <w:rsid w:val="002D2DFC"/>
    <w:rsid w:val="002E16D0"/>
    <w:rsid w:val="002F4B8C"/>
    <w:rsid w:val="00300A98"/>
    <w:rsid w:val="00304DF7"/>
    <w:rsid w:val="003223DF"/>
    <w:rsid w:val="00327BF6"/>
    <w:rsid w:val="0033611F"/>
    <w:rsid w:val="0034143F"/>
    <w:rsid w:val="00347E0C"/>
    <w:rsid w:val="00360F8D"/>
    <w:rsid w:val="00361778"/>
    <w:rsid w:val="0038294F"/>
    <w:rsid w:val="0039476E"/>
    <w:rsid w:val="00396C32"/>
    <w:rsid w:val="003D6E47"/>
    <w:rsid w:val="004147AF"/>
    <w:rsid w:val="0041799D"/>
    <w:rsid w:val="00444058"/>
    <w:rsid w:val="004629CB"/>
    <w:rsid w:val="00482296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462C"/>
    <w:rsid w:val="005852A2"/>
    <w:rsid w:val="00585496"/>
    <w:rsid w:val="00587C76"/>
    <w:rsid w:val="00591620"/>
    <w:rsid w:val="00597CEC"/>
    <w:rsid w:val="005B4EA4"/>
    <w:rsid w:val="005D1EEA"/>
    <w:rsid w:val="005E209D"/>
    <w:rsid w:val="005E4046"/>
    <w:rsid w:val="005F03F1"/>
    <w:rsid w:val="005F7CD2"/>
    <w:rsid w:val="00620459"/>
    <w:rsid w:val="006378AD"/>
    <w:rsid w:val="00657057"/>
    <w:rsid w:val="0068032A"/>
    <w:rsid w:val="006851A7"/>
    <w:rsid w:val="00690DED"/>
    <w:rsid w:val="006B213E"/>
    <w:rsid w:val="006B2181"/>
    <w:rsid w:val="006B6581"/>
    <w:rsid w:val="006D1A8B"/>
    <w:rsid w:val="006E1DCE"/>
    <w:rsid w:val="00714C08"/>
    <w:rsid w:val="00741B8F"/>
    <w:rsid w:val="00751453"/>
    <w:rsid w:val="00763AAB"/>
    <w:rsid w:val="00765DA2"/>
    <w:rsid w:val="007922FC"/>
    <w:rsid w:val="00793AE3"/>
    <w:rsid w:val="007A21D7"/>
    <w:rsid w:val="007C7823"/>
    <w:rsid w:val="007D68C9"/>
    <w:rsid w:val="0080019A"/>
    <w:rsid w:val="00807D44"/>
    <w:rsid w:val="00811233"/>
    <w:rsid w:val="00821940"/>
    <w:rsid w:val="00837894"/>
    <w:rsid w:val="0084160B"/>
    <w:rsid w:val="00850192"/>
    <w:rsid w:val="008642F4"/>
    <w:rsid w:val="00877F8F"/>
    <w:rsid w:val="0088606B"/>
    <w:rsid w:val="00896C1D"/>
    <w:rsid w:val="008B328E"/>
    <w:rsid w:val="008C008B"/>
    <w:rsid w:val="008C14BB"/>
    <w:rsid w:val="008D0D96"/>
    <w:rsid w:val="009169F2"/>
    <w:rsid w:val="00926B79"/>
    <w:rsid w:val="00953B73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610D1"/>
    <w:rsid w:val="00A71AF9"/>
    <w:rsid w:val="00A81250"/>
    <w:rsid w:val="00A8548E"/>
    <w:rsid w:val="00A93E64"/>
    <w:rsid w:val="00AA66D9"/>
    <w:rsid w:val="00AD2D1F"/>
    <w:rsid w:val="00AE0064"/>
    <w:rsid w:val="00AE24F5"/>
    <w:rsid w:val="00AE595C"/>
    <w:rsid w:val="00AE59DB"/>
    <w:rsid w:val="00AF12E3"/>
    <w:rsid w:val="00B0446E"/>
    <w:rsid w:val="00B06DC6"/>
    <w:rsid w:val="00B16DB8"/>
    <w:rsid w:val="00B21CDD"/>
    <w:rsid w:val="00B317A4"/>
    <w:rsid w:val="00B33350"/>
    <w:rsid w:val="00B35284"/>
    <w:rsid w:val="00B46CE5"/>
    <w:rsid w:val="00B54826"/>
    <w:rsid w:val="00B6141D"/>
    <w:rsid w:val="00B63AD0"/>
    <w:rsid w:val="00B721B4"/>
    <w:rsid w:val="00B84143"/>
    <w:rsid w:val="00B9595A"/>
    <w:rsid w:val="00BC2203"/>
    <w:rsid w:val="00BD2DB6"/>
    <w:rsid w:val="00BE2885"/>
    <w:rsid w:val="00BE4B48"/>
    <w:rsid w:val="00BF50E6"/>
    <w:rsid w:val="00BF67CB"/>
    <w:rsid w:val="00C14B49"/>
    <w:rsid w:val="00C16BBD"/>
    <w:rsid w:val="00C31E10"/>
    <w:rsid w:val="00C424DE"/>
    <w:rsid w:val="00C5335D"/>
    <w:rsid w:val="00C56F0C"/>
    <w:rsid w:val="00C72571"/>
    <w:rsid w:val="00C84B04"/>
    <w:rsid w:val="00C94998"/>
    <w:rsid w:val="00CB78FC"/>
    <w:rsid w:val="00CC11D4"/>
    <w:rsid w:val="00CC1700"/>
    <w:rsid w:val="00CE3D9D"/>
    <w:rsid w:val="00D203B1"/>
    <w:rsid w:val="00D208E7"/>
    <w:rsid w:val="00D274AB"/>
    <w:rsid w:val="00D33EF4"/>
    <w:rsid w:val="00D47759"/>
    <w:rsid w:val="00D515A0"/>
    <w:rsid w:val="00D53774"/>
    <w:rsid w:val="00D95087"/>
    <w:rsid w:val="00DA58C6"/>
    <w:rsid w:val="00DD29B6"/>
    <w:rsid w:val="00DF171C"/>
    <w:rsid w:val="00E01AD4"/>
    <w:rsid w:val="00E04AB0"/>
    <w:rsid w:val="00E14F0B"/>
    <w:rsid w:val="00E22865"/>
    <w:rsid w:val="00E47037"/>
    <w:rsid w:val="00E615DF"/>
    <w:rsid w:val="00E6360E"/>
    <w:rsid w:val="00E71983"/>
    <w:rsid w:val="00E73910"/>
    <w:rsid w:val="00E9164B"/>
    <w:rsid w:val="00EA280D"/>
    <w:rsid w:val="00EA7CC3"/>
    <w:rsid w:val="00EB235D"/>
    <w:rsid w:val="00F02922"/>
    <w:rsid w:val="00F10100"/>
    <w:rsid w:val="00F4136A"/>
    <w:rsid w:val="00F63AEE"/>
    <w:rsid w:val="00F7027A"/>
    <w:rsid w:val="00F7662B"/>
    <w:rsid w:val="00F774A3"/>
    <w:rsid w:val="00F81C44"/>
    <w:rsid w:val="00FA3C5B"/>
    <w:rsid w:val="00FA3FD6"/>
    <w:rsid w:val="00FB234A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A423-9E0D-43AC-9916-A1FAA966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264</cp:revision>
  <cp:lastPrinted>2019-07-10T14:51:00Z</cp:lastPrinted>
  <dcterms:created xsi:type="dcterms:W3CDTF">2019-07-10T13:50:00Z</dcterms:created>
  <dcterms:modified xsi:type="dcterms:W3CDTF">2024-03-20T13:13:00Z</dcterms:modified>
</cp:coreProperties>
</file>