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12" w:rsidRPr="003F7712" w:rsidRDefault="003F7712" w:rsidP="003F77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3F77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Администрация </w:t>
      </w:r>
      <w:proofErr w:type="spellStart"/>
      <w:r w:rsidRPr="003F77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района Брянской области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7712" w:rsidRPr="003F7712" w:rsidRDefault="003F7712" w:rsidP="003F77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3F7712">
        <w:rPr>
          <w:rFonts w:ascii="Times New Roman" w:eastAsia="Times New Roman" w:hAnsi="Times New Roman" w:cs="Times New Roman"/>
          <w:b/>
          <w:bCs/>
          <w:spacing w:val="60"/>
          <w:kern w:val="36"/>
          <w:sz w:val="44"/>
          <w:szCs w:val="44"/>
          <w:lang w:eastAsia="ru-RU"/>
        </w:rPr>
        <w:t>ПОСТАНОВЛЕНИЕ</w:t>
      </w:r>
    </w:p>
    <w:p w:rsidR="003F7712" w:rsidRPr="003F7712" w:rsidRDefault="003F7712" w:rsidP="003F771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</w:t>
      </w:r>
    </w:p>
    <w:p w:rsidR="003F7712" w:rsidRPr="003F7712" w:rsidRDefault="003F7712" w:rsidP="003F771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14 ноября 2014 г.   № 727</w:t>
      </w:r>
    </w:p>
    <w:p w:rsidR="003F7712" w:rsidRPr="003F7712" w:rsidRDefault="003F7712" w:rsidP="003F771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г. Сураж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  Порядке использования 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ассигнований резервного фонда 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В соответствии со статьей 81 Бюджетного Кодекса Российской Федерации 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ПОСТАНОВЛЯЮ:</w:t>
      </w:r>
    </w:p>
    <w:p w:rsidR="003F7712" w:rsidRPr="003F7712" w:rsidRDefault="003F7712" w:rsidP="003F7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   прилагаемый   Порядок  использования   бюджетных   ассигнований резервного фонда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F7712" w:rsidRPr="003F7712" w:rsidRDefault="003F7712" w:rsidP="003F7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2.Признать   утратившими   силу   постановления   администрации 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26 октября 2010 г.  № 630 "Об утверждении Положения о порядке расходования средств резервного фонда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района". </w:t>
      </w:r>
    </w:p>
    <w:p w:rsidR="003F7712" w:rsidRPr="003F7712" w:rsidRDefault="003F7712" w:rsidP="003F7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3.Отделу организационно-контрольной работы, делопроизводства и кадров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(Виниченко М.Н.) настоящее постановление  опубликовать в информационн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аналитическом бюллетене "Муниципальный вестник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района" и разместить на официальном сайте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3F7712" w:rsidRPr="003F7712" w:rsidRDefault="003F7712" w:rsidP="003F7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начальника финансового отдела 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Толока С.В.</w:t>
      </w:r>
    </w:p>
    <w:p w:rsidR="003F7712" w:rsidRPr="003F7712" w:rsidRDefault="003F7712" w:rsidP="003F7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 (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обнородования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3F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И.о</w:t>
      </w:r>
      <w:proofErr w:type="spellEnd"/>
      <w:r w:rsidRPr="003F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главы администрации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 </w:t>
      </w:r>
      <w:proofErr w:type="spellStart"/>
      <w:r w:rsidRPr="003F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 А.А. </w:t>
      </w:r>
      <w:proofErr w:type="spellStart"/>
      <w:r w:rsidRPr="003F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Задиран</w:t>
      </w:r>
      <w:proofErr w:type="spellEnd"/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                  Зайцев М.С.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              2-60-52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3F7712" w:rsidRPr="003F7712" w:rsidRDefault="003F7712" w:rsidP="003F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Default="003F7712" w:rsidP="003F7712">
      <w:pPr>
        <w:autoSpaceDE w:val="0"/>
        <w:autoSpaceDN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12" w:rsidRDefault="003F7712" w:rsidP="003F7712">
      <w:pPr>
        <w:autoSpaceDE w:val="0"/>
        <w:autoSpaceDN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12" w:rsidRDefault="003F7712" w:rsidP="003F7712">
      <w:pPr>
        <w:autoSpaceDE w:val="0"/>
        <w:autoSpaceDN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6096"/>
        <w:jc w:val="right"/>
        <w:rPr>
          <w:rFonts w:ascii="Calibri" w:eastAsia="Times New Roman" w:hAnsi="Calibri" w:cs="Calibri"/>
          <w:b/>
          <w:bCs/>
          <w:lang w:eastAsia="ru-RU"/>
        </w:rPr>
      </w:pPr>
      <w:bookmarkStart w:id="0" w:name="_GoBack"/>
      <w:bookmarkEnd w:id="0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6096"/>
        <w:jc w:val="right"/>
        <w:rPr>
          <w:rFonts w:ascii="Calibri" w:eastAsia="Times New Roman" w:hAnsi="Calibri" w:cs="Calibri"/>
          <w:b/>
          <w:bCs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6096"/>
        <w:jc w:val="right"/>
        <w:rPr>
          <w:rFonts w:ascii="Calibri" w:eastAsia="Times New Roman" w:hAnsi="Calibri" w:cs="Calibri"/>
          <w:b/>
          <w:bCs/>
          <w:lang w:eastAsia="ru-RU"/>
        </w:rPr>
      </w:pPr>
      <w:proofErr w:type="spellStart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района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6096"/>
        <w:jc w:val="right"/>
        <w:rPr>
          <w:rFonts w:ascii="Calibri" w:eastAsia="Times New Roman" w:hAnsi="Calibri" w:cs="Calibri"/>
          <w:b/>
          <w:bCs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ноября 2014 года  №727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lang w:eastAsia="ru-RU"/>
        </w:rPr>
      </w:pPr>
      <w:proofErr w:type="gramStart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 Я Д О К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бюджетных ассигнований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резервного фонда администрации  </w:t>
      </w:r>
      <w:proofErr w:type="spellStart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left="1069" w:hanging="360"/>
        <w:jc w:val="center"/>
        <w:rPr>
          <w:rFonts w:ascii="Calibri" w:eastAsia="Times New Roman" w:hAnsi="Calibri" w:cs="Calibri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77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основания для использования бюджетных ассигнований резервного фонда, документы, необходимые для подготовки распоряжения администрации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использовании бюджетных ассигнований резервного фонда, порядок подготовки распоряжений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использовании ассигнований резервного фонда, порядок представления отчетности об использовании бюджетных ассигнований резервного фонда, порядок осуществления контроля за использованием ассигнований резервного фонда.</w:t>
      </w:r>
      <w:proofErr w:type="gramEnd"/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Для целей настоящего Порядка под непредвиденными расходами понимаются расходы в пределах предметов ведения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установленных законодательством Российской Федерации, не предусмотренные в бюджете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соответствующий финансовый год и плановый период, возникшие неожиданно, не имеющие регулярного характера.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Бюджетные ассигнования резервного фонда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– резервный фонд) используются 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Финансового обеспечения непредвиденных расходов, в том числе: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ликвидации чрезвычайных ситуаций и их последствий и последствий стихийных бедствий;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по ликвидации чрезвычайных ситуаций на объектах организаций, имущество которых находится в муниципальной собственности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их последствий;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восполнение резервного фонда материальных ресурсов, использованных при проведении аварийно-восстановительных работ, связанных с ликвидацией чрезвычайных ситуаций, и их последствий; 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поисковых и аварийно-спасательных работ в зоне чрезвычайной ситуации;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единовременной материальной помощи пострадавшим гражданам;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поддержка отдельных категорий граждан (ветераны Великой Отечественной войны, инвалиды, участники боевых действий в "горячих точках", семьи погибших военнослужащих,  граждане Украины, вынужденные покинуть постоянное место жительства и оказавшиеся в трудной жизненной ситуации, или по ходатайству ветеранских общественных организаций;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мероприятий, встреч, симпозиумов, выставок, семинаров по проблемам местного значения, оказание финансовой помощи для оплаты расходов по проведению и </w:t>
      </w: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участию в районных, областных, всероссийских и международных конкурсах и фестивалях;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экстренных противоэпидемических мероприятий;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судебных расходов муниципальных учреждений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включая выплаты по решению суда и судебные издержки (выплата экспертам, специалистам свидетелям, переводчикам, расходы, связанные с проведением осмотра доказательств на месте, расходы юридического лица на уведомление о корпоративном споре в случае, если федеральным законом предусмотрена обязанность такого уведомления, и другие расходы, в связи с рассмотрением дела в суде);</w:t>
      </w:r>
      <w:proofErr w:type="gramEnd"/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осуществление на территории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мероприятий по предупреждению терроризма и экстремизма, минимизации их последствий;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непредвиденные расходы в соответствии с полномочиями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Предоставления межбюджетных трансфертов органам местного самоуправления поселений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для финансового обеспечения непредвиденных расходов, в том числе: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ликвидации чрезвычайных ситуаций и их последствий и последствий стихийных бедствий;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по ликвидации чрезвычайных ситуаций на объектах учреждений, имущество которых находится в муниципальной собственности поселений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их последствий;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поисковых и аварийно-спасательных работ в зоне чрезвычайной ситуации;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субсидии на текущий и капитальный ремонт объектов и учреждений, находящихся в муниципальной собственности;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непредвиденные расходы в соответствии с полномочиями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Порядок использования бюджетных ассигнований резервного 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фонда на финансовое обеспечение непредвиденных расходов, которые не предусмотрены при утверждении бюджета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очередной финансовый год и плановый период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Основанием для подготовки проекта распоряжения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является письменное поручение главы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обращение (далее – обращение) органа исполнительной власти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народных депутатов, органов местного самоуправления поселений о выделении средств из резервного фонда на цели, определенные Бюджетным кодексом Российской Федерации и настоящим Положением.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обращением заявителем представляются следующие документы: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непредвиденность расходов;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(сметы расходов, планы финансово-хозяйственной деятельности, другие первичные документы), подтверждающие то, что указанные расходы не учтены соответственно в бюджете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финансово-экономические обоснования расходов.</w:t>
      </w:r>
    </w:p>
    <w:p w:rsidR="003F7712" w:rsidRPr="003F7712" w:rsidRDefault="003F7712" w:rsidP="003F771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обращения об использовании ассигнований резервного фонда администрации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иной организации, указанные обращения направляются в соответствии с письменным поручением главы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заключение заместителю главы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курирующего соответствующую сферу деятельности. По заключению заместителя главы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сведения направляются в финансовый отдел администрации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района в течение трех рабочих дней.</w:t>
      </w:r>
    </w:p>
    <w:p w:rsidR="003F7712" w:rsidRPr="003F7712" w:rsidRDefault="003F7712" w:rsidP="003F771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Финансовый отдел  администрации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результатам рассмотрения обращения и представленных к нему документов готовит заключение о возможности (невозможности) использования бюджетных ассигнований резервного фонда на цели, указанные в обращении. В случае заключения о возможности использования бюджетных ассигнований резервного фонда на цели, указанные в обращении, к заключению прилагается проект распоряжения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использовании бюджетных ассигнований резервного фонда на финансовое обеспечение непредвиденных расходов (за исключением расходов на финансовое обеспечение мероприятий по ликвидации чрезвычайных ситуаций и последствий стихийных бедствий).</w:t>
      </w:r>
    </w:p>
    <w:p w:rsidR="003F7712" w:rsidRPr="003F7712" w:rsidRDefault="003F7712" w:rsidP="003F771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отказа в использовании бюджетных ассигнований на цели, указанные в обращении, являются:</w:t>
      </w:r>
    </w:p>
    <w:p w:rsidR="003F7712" w:rsidRPr="003F7712" w:rsidRDefault="003F7712" w:rsidP="003F771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3F7712" w:rsidRPr="003F7712" w:rsidRDefault="003F7712" w:rsidP="003F771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несоответствие целей, указанных в обращении об использовании ассигнований резервного фонда, полномочиям администрации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3F7712" w:rsidRPr="003F7712" w:rsidRDefault="003F7712" w:rsidP="003F771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документов, подтверждающих необходимость использования ассигнований резервного фонда и обосновывающих размер испрашиваемых средств;</w:t>
      </w:r>
    </w:p>
    <w:p w:rsidR="003F7712" w:rsidRPr="003F7712" w:rsidRDefault="003F7712" w:rsidP="003F771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документов, подтверждающих непредвиденность расходов;</w:t>
      </w:r>
    </w:p>
    <w:p w:rsidR="003F7712" w:rsidRPr="003F7712" w:rsidRDefault="003F7712" w:rsidP="003F771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заключений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(в случае необходимости такого заключения).</w:t>
      </w:r>
    </w:p>
    <w:p w:rsidR="003F7712" w:rsidRPr="003F7712" w:rsidRDefault="003F7712" w:rsidP="003F771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хотя бы одного из вышеуказанных оснований для отказа в использовании бюджетных ассигнований резервного фонда финансовый   отдел 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направляет лицу, направившему обращение, мотивированный отказ с одновременным направлением главе 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заключения о невозможности использования бюджетных ассигнований резервного фонда на цели, указанные в обращении.</w:t>
      </w:r>
    </w:p>
    <w:p w:rsidR="003F7712" w:rsidRPr="003F7712" w:rsidRDefault="003F7712" w:rsidP="003F771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главой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соответствующего поручения.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Подготовленный проект распоряжения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использовании бюджетных ассигнований резервного фонда подлежит согласованию в установленном порядке.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Исполнение распоряжений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использовании бюджетных ассигнований резервного фонда в части финансового обеспечения непредвиденных расходов осуществляется главными распорядителями средств бюджета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курирующими соответствующие сферы деятельности.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Финансовый отдел  администрации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осуществляет санкционирование и проведение платежей за счет бюджетных ассигнований резервного фонда в соответствии с распоряжениями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на </w:t>
      </w: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основании представленных платежных и обосновывающих документов получателя бюджетных сре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двух рабочих дней со дня представления указанных документов. 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случае если расходы на исполнение распоряжения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использовании бюджетных ассигнований резервного фонда не были осуществлены в текущем финансовом году, и необходимость их осуществления сохраняется, расходы осуществляются за счет бюджетных ассигнований резервного фонда в следующем финансовом году без принятия повторного распоряжения администрации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Par69"/>
      <w:bookmarkEnd w:id="1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Особенности  использования бюджетных ассигнований 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резервного фонда на финансовое обеспечение мероприятий 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ликвидации чрезвычайных ситуаций и последствий стихийных 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бедствий на объектах организаций, имущество 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 муниципальной собственности 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3F7712" w:rsidRPr="003F7712" w:rsidRDefault="003F7712" w:rsidP="003F7712">
      <w:pPr>
        <w:spacing w:after="0" w:line="240" w:lineRule="auto"/>
        <w:ind w:left="993" w:right="1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чрезвычайных ситуаций на объектах муниципальных учреждений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имущество которых находится в муниципальной собственности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органов местного самоуправления поселений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при недостаточности бюджетных ассигнований или собственных средств организации, имущество которой находится в муниципальной собственности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органов местного самоуправления поселений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руководитель муниципального учреждения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глава поселения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не позднее 15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возникновения чрезвычайной ситуации обращаются в администрацию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 просьбой об использовании бюджетных ассигнований резервного фонда на ликвидацию чрезвычайной ситуации.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указываются следующие данные: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погибших и пострадавших людей;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размере материального ущерба;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размере выделенных и израсходованных на ликвидацию чрезвычайной ситуации бюджетных и/или собственных средств;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  у у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резервов материальных и финансовых ресурсов;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предварительном размере запрашиваемых из резервного фонда ассигнований и (или) материальных ресурсов из фонда материальных ресурсов.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 поручению главы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обращение рассматривается КЧС и ПБ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муниципальных учреждений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руководители органов местного самоуправления поселений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последующие 10 дней представляют в КЧС  и ПБ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следующие документы: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anchor="Par212" w:history="1">
        <w:r w:rsidRPr="003F7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смету-заявку</w:t>
        </w:r>
      </w:hyperlink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денежных средствах на оказание помощи в ликвидации чрезвычайных ситуаций и последствий стихийных бедствий (приложение 1);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anchor="Par297" w:history="1">
        <w:r w:rsidRPr="003F7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</w:t>
        </w:r>
      </w:hyperlink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пострадавших в результате чрезвычайной ситуации, на получение единовременной материальной помощи (приложение 2);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anchor="Par369" w:history="1">
        <w:r w:rsidRPr="003F7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акты</w:t>
        </w:r>
      </w:hyperlink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на каждый пострадавший объект с указанием характера и объемов разрушений (повреждений) с приложением смет на проведение неотложных аварийно-восстановительных работ по каждому объекту</w:t>
      </w:r>
      <w:bookmarkStart w:id="2" w:name="_ftnref1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"http://admsur.ru/bank/dokumenty/2014/post_727.htm" \l "_ftn1" \o "" </w:instrText>
      </w: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[1]</w:t>
      </w: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3);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свидетельствующих о праве собственности (балансовой принадлежности) на пострадавший объект;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донесений по формам 1/ЧС (в случае чрезвычайной ситуации природного характера) и 2/ЧС с указанием предварительного размера ущерба, представленные в центр управления в кризисных ситуациях главного управления МЧС России по Брянской </w:t>
      </w: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области, в соответствии с </w:t>
      </w:r>
      <w:hyperlink r:id="rId8" w:history="1">
        <w:r w:rsidRPr="003F7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области от 12 ноября 2009 года № 1189 «Об утверждении Положения порядке сбора и обмена информацией в области защиты населения и территорий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чрезвычайных ситуаций природного и техногенного характера на территории Брянской области»;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 факте чрезвычайной ситуации природного характера от Брянского центра по гидрометеорологии и мониторингу окружающей  среды – филиала Федерального государственного бюджетного учреждения «Центрально-Черноземное управление по гидрометеорологии и мониторингу окружающей среды» – в случае чрезвычайной ситуации природного характера, или МКУ "ЕДДС-112"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 факте чрезвычайной ситуации техногенного характера от ОНД МЧС России по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Суражскому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 – в случае чрезвычайной ситуации техногенного характера;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 подтверждении факта причинения ущерба в результате чрезвычайной ситуации от оперативной группы ОНД МЧС России по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Суражскому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району, выезжавшей на место происшествия, или ОГ КЧС и ОПБ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фотодокументы, представленные оперативной группой ОНД  МЧС России по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Суражскому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району, оперативной группой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выезжавших на место происшествия.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финансовой помощи на возмещение ущерба гражданам, проживающим в частном секторе, чьи домовладения пострадали, осуществляется решением главы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Решение КЧС  и ОПБ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оформляется в форме протокола заседания  комиссии по предупреждению и ликвидации чрезвычайных ситуаций и обеспечению пожарной безопасности в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Суражском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о возможности (невозможности), правомерности и целесообразности использования бюджетных ассигнований резервного фонда на цели, указанные в обращении.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подготовки проекта распоряжения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использовании бюджетных ассигнований резервного фонда является письменное поручение главы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 указывается общий размер используемых бюджетных ассигнований и их распределение по проводимым мероприятиям. При использовании бюджетных ассигнований на финансовое обеспечение неотложных аварийно-восстановительных и/или восстановительных работ на пострадавших объектах в распоряжении должно быть указано по объектное распределение средств.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Основаниями 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 в использовании бюджетных ассигнований резервного фонда на финансовое обеспечение мероприятий по ликвидации чрезвычайных ситуаций на объектах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имущество которых находится в муниципальной собственности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являются: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органов муниципальных учреждений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органов местного самоуправления поселений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использовании бюджетных ассигнований резервного фонда на проведение аварийно-восстановительных и/или восстановительных работ и иных мероприятий, связанных с ликвидацией последствий происшествий и стихийных бедствий, не относящихся в соответствии с действующим законодательством к чрезвычайным ситуациям;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представленных документов перечню документов, указанных в пункте 3.2 настоящего Порядка (непредставление либо неполное представление документов);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обращения, а также документов и материалов по истечении сроков, установленных пунктами 3.1, 3.2 настоящего Порядка, кроме обращений и документов на оказание единовременной материальной помощи пострадавшим гражданам. </w:t>
      </w: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Максимальный срок обращения и представления в КЧС и ОПБ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документов на оказание единовременной материальной помощи пострадавшим гражданам – не 15 рабочих дней с момента возникновения чрезвычайной ситуации;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на представленных сметах на аварийно-восстановительные работы на пострадавших объектах согласований органов местного самоуправления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(в случае необходимости такого согласования в соответствии с настоящим Порядком);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решения КЧС и ОПБ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(наличие отрицательного заключения) о правомерности и целесообразности использования бюджетных ассигнований резервного фонда на цели, указанные в обращении.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хотя бы одного из указанных выше оснований для отказа в использовании бюджетных ассигнований резервного фонда, финансовое управление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направляет лицу, представившему обращение, мотивированный отказ с одновременным направлением главе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заключения о невозможности использования бюджетных ассигнований резервного фонда на цели, указанные в обращении.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администрации  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использовании бюджетных ассигнований резервного фонда на финансовое  обеспечение  непредвиденных  расходов  составляет 20 рабочих дней со дня принятия главой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соответствующего поручения.</w:t>
      </w:r>
    </w:p>
    <w:p w:rsidR="003F7712" w:rsidRPr="003F7712" w:rsidRDefault="003F7712" w:rsidP="003F771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Бюджетные ассигнования резервного фонда в части расходов по ликвидации чрезвычайных ситуаций и последствий стихийных бедствий используются администрацией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муниципальными учреждениями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 полномочия которых входит решение вопросов защиты населения и территорий от чрезвычайных ситуаций, или принимающих участие в ликвидации чрезвычайных ситуаций, вопросов социальной защиты населения.</w:t>
      </w:r>
    </w:p>
    <w:p w:rsidR="003F7712" w:rsidRPr="003F7712" w:rsidRDefault="003F7712" w:rsidP="003F771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ликвидации  чрезвычайных ситуаций на объектах учреждений, имущество которых находится в муниципальной собственности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их последствий бюджетные ассигнования резервного фонда могут использоваться администрацией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муниципальными учреждениями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  имеющими на балансе пострадавшее имущество, находящееся в муниципальной собственности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муниципальных бюджетных и автономных учреждений бюджетные ассигнования резервного фонда доводятся в форме и порядке субсидий на иные цели.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использования бюджетных ассигнований резервного фонда на восстановление объектов недвижимости, находящихся в муниципальной собственности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условием использования ассигнований является заключение соглашения между главным распорядителем бюджетных средств бюджета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(органом местного самоуправления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осуществляющим полномочия учредителя в отношении муниципального учреждения) и муниципальным учреждением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 соответствии с которым должно быть, в том числе, предусмотрено:</w:t>
      </w:r>
      <w:proofErr w:type="gramEnd"/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восстановительных работ;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финансовых средств, направляемых муниципальным  учреждением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самостоятельно на выполнение    восстановительных    работ     (за     исключением  проведения восстановительных работ на объектах муниципальных казённых учреждений);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финансирования восстановительных работ за счет бюджетных ассигнований резервного фонда;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обязательство муниципального учреждения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выполнять восстановительные работы в соответствии со строительным проектом на объект и/или СНиП, действующим в отношении восстанавливаемого объекта.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представления отчетности об использовании бюджетных ассигнований резервного фонда</w:t>
      </w:r>
    </w:p>
    <w:p w:rsidR="003F7712" w:rsidRPr="003F7712" w:rsidRDefault="003F7712" w:rsidP="003F7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 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Администрация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муниципальные учреждения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органы исполнительной власти поселений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использовавшие бюджетные ассигнования резервного фонда, в месячный срок после проведения мероприятий, указанных в распоряжении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представляют отчет об использовании бюджетных ассигнований в финансовый отдел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форме согласно приложению 4.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Финансовый отдел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организует учёт использования бюджетных ассигнований резервного фонда. 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бюджетных ассигнований 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резервного фонда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Финансовый отдел 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ежеквартально представляет в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Суражский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Совет народных депутатов и Контрольно-счетную палату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информацию об использовании бюджетных ассигнований резервного фонда.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jc w:val="right"/>
        <w:rPr>
          <w:rFonts w:ascii="Times New Roman" w:hAnsi="Times New Roman" w:cs="Times New Roman"/>
          <w:lang w:eastAsia="ru-RU"/>
        </w:rPr>
      </w:pPr>
      <w:r w:rsidRPr="003F7712">
        <w:rPr>
          <w:lang w:eastAsia="ru-RU"/>
        </w:rPr>
        <w:br w:type="page"/>
      </w:r>
      <w:r w:rsidRPr="003F7712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3F7712" w:rsidRPr="003F7712" w:rsidRDefault="003F7712" w:rsidP="003F7712">
      <w:pPr>
        <w:jc w:val="right"/>
        <w:rPr>
          <w:rFonts w:ascii="Times New Roman" w:hAnsi="Times New Roman" w:cs="Times New Roman"/>
          <w:lang w:eastAsia="ru-RU"/>
        </w:rPr>
      </w:pPr>
      <w:r w:rsidRPr="003F7712">
        <w:rPr>
          <w:rFonts w:ascii="Times New Roman" w:hAnsi="Times New Roman" w:cs="Times New Roman"/>
          <w:lang w:eastAsia="ru-RU"/>
        </w:rPr>
        <w:t xml:space="preserve">к Порядку использования </w:t>
      </w:r>
      <w:proofErr w:type="gramStart"/>
      <w:r w:rsidRPr="003F7712">
        <w:rPr>
          <w:rFonts w:ascii="Times New Roman" w:hAnsi="Times New Roman" w:cs="Times New Roman"/>
          <w:lang w:eastAsia="ru-RU"/>
        </w:rPr>
        <w:t>бюджетных</w:t>
      </w:r>
      <w:proofErr w:type="gramEnd"/>
    </w:p>
    <w:p w:rsidR="003F7712" w:rsidRPr="003F7712" w:rsidRDefault="003F7712" w:rsidP="003F7712">
      <w:pPr>
        <w:jc w:val="right"/>
        <w:rPr>
          <w:rFonts w:ascii="Times New Roman" w:hAnsi="Times New Roman" w:cs="Times New Roman"/>
          <w:lang w:eastAsia="ru-RU"/>
        </w:rPr>
      </w:pPr>
      <w:r w:rsidRPr="003F7712">
        <w:rPr>
          <w:rFonts w:ascii="Times New Roman" w:hAnsi="Times New Roman" w:cs="Times New Roman"/>
          <w:lang w:eastAsia="ru-RU"/>
        </w:rPr>
        <w:t>ассигнований резервного фонда</w:t>
      </w:r>
    </w:p>
    <w:p w:rsidR="003F7712" w:rsidRPr="003F7712" w:rsidRDefault="003F7712" w:rsidP="003F7712">
      <w:pPr>
        <w:jc w:val="right"/>
        <w:rPr>
          <w:rFonts w:ascii="Times New Roman" w:hAnsi="Times New Roman" w:cs="Times New Roman"/>
          <w:lang w:eastAsia="ru-RU"/>
        </w:rPr>
      </w:pPr>
      <w:r w:rsidRPr="003F7712">
        <w:rPr>
          <w:rFonts w:ascii="Times New Roman" w:hAnsi="Times New Roman" w:cs="Times New Roman"/>
          <w:lang w:eastAsia="ru-RU"/>
        </w:rPr>
        <w:t xml:space="preserve">администрации  </w:t>
      </w:r>
      <w:proofErr w:type="spellStart"/>
      <w:r w:rsidRPr="003F7712">
        <w:rPr>
          <w:rFonts w:ascii="Times New Roman" w:hAnsi="Times New Roman" w:cs="Times New Roman"/>
          <w:lang w:eastAsia="ru-RU"/>
        </w:rPr>
        <w:t>Суражского</w:t>
      </w:r>
      <w:proofErr w:type="spellEnd"/>
      <w:r w:rsidRPr="003F7712">
        <w:rPr>
          <w:rFonts w:ascii="Times New Roman" w:hAnsi="Times New Roman" w:cs="Times New Roman"/>
          <w:lang w:eastAsia="ru-RU"/>
        </w:rPr>
        <w:t xml:space="preserve"> района</w:t>
      </w:r>
    </w:p>
    <w:p w:rsidR="003F7712" w:rsidRPr="003F7712" w:rsidRDefault="003F7712" w:rsidP="003F7712">
      <w:pPr>
        <w:rPr>
          <w:lang w:eastAsia="ru-RU"/>
        </w:rPr>
      </w:pPr>
      <w:r w:rsidRPr="003F7712">
        <w:rPr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Par212"/>
      <w:bookmarkEnd w:id="3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СМЕТА-ЗАЯВКА 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денежных средствах на оказание помощи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ликвидации чрезвычайных ситуаций и последствий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стихийных бедствий муниципального образования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Свободный остаток денежных средств по состоянию </w:t>
      </w:r>
      <w:proofErr w:type="gramStart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резервном фонде ___________________ рублей.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Оказание единовременной финансовой помощи пострадавшим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769"/>
        <w:gridCol w:w="1020"/>
        <w:gridCol w:w="1539"/>
        <w:gridCol w:w="1471"/>
        <w:gridCol w:w="1702"/>
        <w:gridCol w:w="1380"/>
      </w:tblGrid>
      <w:tr w:rsidR="003F7712" w:rsidRPr="003F7712" w:rsidTr="003F7712">
        <w:trPr>
          <w:trHeight w:val="540"/>
          <w:jc w:val="center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пострадавших, человек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ущерба, 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возмещение, тыс. рублей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 оказанию единовременной помощи, тыс. рублей</w:t>
            </w:r>
          </w:p>
        </w:tc>
      </w:tr>
      <w:tr w:rsidR="003F7712" w:rsidRPr="003F7712" w:rsidTr="003F7712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предприятий, организаций и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местного бюджета</w:t>
            </w:r>
          </w:p>
        </w:tc>
      </w:tr>
      <w:tr w:rsidR="003F7712" w:rsidRPr="003F7712" w:rsidTr="003F7712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Расходы на проведение неотложных аварийно-восстановительных работ на объектах, пострадавших в результате чрезвычайных ситуаций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404"/>
        <w:gridCol w:w="1115"/>
        <w:gridCol w:w="1218"/>
        <w:gridCol w:w="1068"/>
        <w:gridCol w:w="1356"/>
        <w:gridCol w:w="1021"/>
        <w:gridCol w:w="774"/>
      </w:tblGrid>
      <w:tr w:rsidR="003F7712" w:rsidRPr="003F7712" w:rsidTr="003F7712"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 отраслей (</w:t>
            </w:r>
            <w:proofErr w:type="spell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объектов экономики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пострадав-</w:t>
            </w:r>
            <w:proofErr w:type="spell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объ-ектов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аварийно-восстанови-тельных работ, тыс. рублей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рублей</w:t>
            </w:r>
          </w:p>
        </w:tc>
      </w:tr>
      <w:tr w:rsidR="003F7712" w:rsidRPr="003F7712" w:rsidTr="003F77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предприятий, организаций и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F7712" w:rsidRPr="003F7712" w:rsidTr="003F7712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712" w:rsidRPr="003F7712" w:rsidTr="003F7712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712" w:rsidRPr="003F7712" w:rsidTr="003F7712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712" w:rsidRPr="003F7712" w:rsidTr="003F7712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712" w:rsidRPr="003F7712" w:rsidTr="003F7712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712" w:rsidRPr="003F7712" w:rsidTr="003F7712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</w:t>
            </w:r>
            <w:proofErr w:type="gram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712" w:rsidRPr="003F7712" w:rsidTr="003F7712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    </w:t>
            </w: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(здания, сооружения)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712" w:rsidRPr="003F7712" w:rsidTr="003F7712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Примечание. Составляется с учетом актов и смет.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Всего по смете-заявке __________________ рублей, в том числе за счет бюджетных ассигнований резервного фонда администрации  </w:t>
      </w:r>
      <w:proofErr w:type="spellStart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_________________ рублей.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3F7712" w:rsidRPr="003F7712" w:rsidRDefault="003F7712" w:rsidP="003F7712">
      <w:pPr>
        <w:jc w:val="right"/>
        <w:rPr>
          <w:rFonts w:ascii="Times New Roman" w:hAnsi="Times New Roman" w:cs="Times New Roman"/>
          <w:lang w:eastAsia="ru-RU"/>
        </w:rPr>
      </w:pPr>
      <w:r w:rsidRPr="003F7712">
        <w:rPr>
          <w:lang w:eastAsia="ru-RU"/>
        </w:rPr>
        <w:br w:type="page"/>
      </w:r>
      <w:r w:rsidRPr="003F7712"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3F7712" w:rsidRPr="003F7712" w:rsidRDefault="003F7712" w:rsidP="003F7712">
      <w:pPr>
        <w:jc w:val="right"/>
        <w:rPr>
          <w:rFonts w:ascii="Times New Roman" w:hAnsi="Times New Roman" w:cs="Times New Roman"/>
          <w:lang w:eastAsia="ru-RU"/>
        </w:rPr>
      </w:pPr>
      <w:r w:rsidRPr="003F7712">
        <w:rPr>
          <w:rFonts w:ascii="Times New Roman" w:hAnsi="Times New Roman" w:cs="Times New Roman"/>
          <w:lang w:eastAsia="ru-RU"/>
        </w:rPr>
        <w:t>к Порядку использования бюджетных ассигнований резервного фонда</w:t>
      </w:r>
    </w:p>
    <w:p w:rsidR="003F7712" w:rsidRPr="003F7712" w:rsidRDefault="003F7712" w:rsidP="003F7712">
      <w:pPr>
        <w:jc w:val="right"/>
        <w:rPr>
          <w:rFonts w:ascii="Times New Roman" w:hAnsi="Times New Roman" w:cs="Times New Roman"/>
          <w:lang w:eastAsia="ru-RU"/>
        </w:rPr>
      </w:pPr>
      <w:r w:rsidRPr="003F7712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Pr="003F7712">
        <w:rPr>
          <w:rFonts w:ascii="Times New Roman" w:hAnsi="Times New Roman" w:cs="Times New Roman"/>
          <w:lang w:eastAsia="ru-RU"/>
        </w:rPr>
        <w:t>Суражского</w:t>
      </w:r>
      <w:proofErr w:type="spellEnd"/>
      <w:r w:rsidRPr="003F7712">
        <w:rPr>
          <w:rFonts w:ascii="Times New Roman" w:hAnsi="Times New Roman" w:cs="Times New Roman"/>
          <w:lang w:eastAsia="ru-RU"/>
        </w:rPr>
        <w:t xml:space="preserve"> района 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Par297"/>
      <w:bookmarkEnd w:id="4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пострадавших в результате чрезвычайной ситуации,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получение 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единовременной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материальной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финансовой помощи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наименование чрезвычайной ситуации)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86"/>
        <w:gridCol w:w="1560"/>
        <w:gridCol w:w="2465"/>
        <w:gridCol w:w="998"/>
        <w:gridCol w:w="1151"/>
        <w:gridCol w:w="1427"/>
      </w:tblGrid>
      <w:tr w:rsidR="003F7712" w:rsidRPr="003F7712" w:rsidTr="003F7712"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пострадавшего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адрес местожительства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   личность (серия, номер, кем и когда выдан)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Оказанная помощь </w:t>
            </w:r>
          </w:p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Требуемая помощь из резервного фонда администрации </w:t>
            </w:r>
            <w:proofErr w:type="spell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тыс. рублей</w:t>
            </w:r>
          </w:p>
        </w:tc>
      </w:tr>
      <w:tr w:rsidR="003F7712" w:rsidRPr="003F7712" w:rsidTr="003F77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возмещения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F7712" w:rsidRPr="003F7712" w:rsidTr="003F7712">
        <w:tc>
          <w:tcPr>
            <w:tcW w:w="141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     </w:t>
            </w:r>
          </w:p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 рублей</w:t>
            </w:r>
          </w:p>
        </w:tc>
      </w:tr>
      <w:tr w:rsidR="003F7712" w:rsidRPr="003F7712" w:rsidTr="003F7712">
        <w:tc>
          <w:tcPr>
            <w:tcW w:w="141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 человек </w:t>
            </w: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 рублей </w:t>
            </w:r>
          </w:p>
        </w:tc>
      </w:tr>
      <w:tr w:rsidR="003F7712" w:rsidRPr="003F7712" w:rsidTr="003F7712">
        <w:tc>
          <w:tcPr>
            <w:tcW w:w="615" w:type="dxa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3F7712" w:rsidRPr="003F7712" w:rsidTr="003F7712">
        <w:trPr>
          <w:trHeight w:val="2235"/>
          <w:tblCellSpacing w:w="0" w:type="dxa"/>
        </w:trPr>
        <w:tc>
          <w:tcPr>
            <w:tcW w:w="375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3F7712" w:rsidRPr="003F77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7712" w:rsidRPr="003F7712" w:rsidRDefault="003F7712" w:rsidP="003F7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администрации муниципального района</w:t>
                  </w:r>
                </w:p>
                <w:p w:rsidR="003F7712" w:rsidRPr="003F7712" w:rsidRDefault="003F7712" w:rsidP="003F7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F7712" w:rsidRPr="003F7712" w:rsidRDefault="003F7712" w:rsidP="003F7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 _______</w:t>
                  </w:r>
                </w:p>
                <w:p w:rsidR="003F7712" w:rsidRPr="003F7712" w:rsidRDefault="003F7712" w:rsidP="003F7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(подпись, Ф.И.О.)</w:t>
                  </w:r>
                </w:p>
                <w:p w:rsidR="003F7712" w:rsidRPr="003F7712" w:rsidRDefault="003F7712" w:rsidP="003F771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</w:tbl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</w:p>
    <w:p w:rsidR="003F7712" w:rsidRPr="003F7712" w:rsidRDefault="003F7712" w:rsidP="003F77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3F7712" w:rsidRPr="003F7712" w:rsidRDefault="003F7712" w:rsidP="003F771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использования 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7712" w:rsidRPr="003F7712" w:rsidRDefault="003F7712" w:rsidP="003F771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резервного фонда</w:t>
      </w:r>
    </w:p>
    <w:p w:rsidR="003F7712" w:rsidRPr="003F7712" w:rsidRDefault="003F7712" w:rsidP="003F771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240"/>
        <w:gridCol w:w="192"/>
        <w:gridCol w:w="4910"/>
      </w:tblGrid>
      <w:tr w:rsidR="003F7712" w:rsidRPr="003F7712" w:rsidTr="003F7712">
        <w:trPr>
          <w:trHeight w:val="180"/>
          <w:tblCellSpacing w:w="0" w:type="dxa"/>
        </w:trPr>
        <w:tc>
          <w:tcPr>
            <w:tcW w:w="75" w:type="dxa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F7712" w:rsidRPr="003F7712" w:rsidTr="003F7712">
        <w:trPr>
          <w:trHeight w:val="2010"/>
          <w:tblCellSpacing w:w="0" w:type="dxa"/>
        </w:trPr>
        <w:tc>
          <w:tcPr>
            <w:tcW w:w="0" w:type="auto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</w:tblGrid>
            <w:tr w:rsidR="003F7712" w:rsidRPr="003F77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7712" w:rsidRPr="003F7712" w:rsidRDefault="003F7712" w:rsidP="003F7712">
                  <w:pPr>
                    <w:framePr w:hSpace="45" w:wrap="around" w:vAnchor="text" w:hAnchor="text"/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Согласовано                                                  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главного управления  МЧС России по Брянской области               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 _______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(подпись, Ф.И.О.)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 _______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(подпись, Ф.И.О.)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</w:tbl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0"/>
            </w:tblGrid>
            <w:tr w:rsidR="003F7712" w:rsidRPr="003F77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7712" w:rsidRPr="003F7712" w:rsidRDefault="003F7712" w:rsidP="003F77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 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Глава администрации муниципального района                                              </w:t>
                  </w: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  <w:lang w:eastAsia="ru-RU"/>
                    </w:rPr>
                    <w:t>                        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 _______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(подпись, Ф.И.О.)</w:t>
                  </w:r>
                </w:p>
                <w:p w:rsidR="003F7712" w:rsidRPr="003F7712" w:rsidRDefault="003F7712" w:rsidP="003F7712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Pr="003F77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</w:tbl>
          <w:p w:rsidR="003F7712" w:rsidRPr="003F7712" w:rsidRDefault="003F7712" w:rsidP="003F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7712" w:rsidRPr="003F7712" w:rsidRDefault="003F7712" w:rsidP="003F77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ar369"/>
      <w:bookmarkEnd w:id="5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АКТ*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____________________________________________________________,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пострадавшего объекта, почтовый адрес)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поврежденного</w:t>
      </w:r>
      <w:proofErr w:type="gramEnd"/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(тип, дата и время ЧС)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объекта: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почтовый адрес собственника объекта)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повреждении (разрушении)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510"/>
        <w:gridCol w:w="1120"/>
        <w:gridCol w:w="4707"/>
        <w:gridCol w:w="726"/>
        <w:gridCol w:w="1065"/>
      </w:tblGrid>
      <w:tr w:rsidR="003F7712" w:rsidRPr="003F7712" w:rsidTr="003F7712">
        <w:trPr>
          <w:trHeight w:val="1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пострадавшего здания (сооружения), его ведомственная принадлежность**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повреждения (разрушения) (слабая, средняя, сильная)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                                     характеристика  повреждений***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ущерба, тыс. рублей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возмещение, тыс. рублей</w:t>
            </w:r>
          </w:p>
        </w:tc>
      </w:tr>
      <w:tr w:rsidR="003F7712" w:rsidRPr="003F7712" w:rsidTr="003F7712"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</w:tr>
      <w:tr w:rsidR="003F7712" w:rsidRPr="003F7712" w:rsidTr="003F771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712" w:rsidRPr="003F7712" w:rsidTr="003F7712"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объекта:</w:t>
      </w:r>
    </w:p>
    <w:p w:rsidR="003F7712" w:rsidRPr="003F7712" w:rsidRDefault="003F7712" w:rsidP="003F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(полные параметры объекта)**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нанесенного ущерба: _________________________ тыс. рублей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 (материалов): _____________________________________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(полное наименование должности, фамилия и  инициалы, подпись и дата подписи);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  (полное наименование должности каждого члена комиссии,  фамилий и инициалов, подписи и даты подписания)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Par424"/>
      <w:bookmarkEnd w:id="6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*Составляется на каждый поврежденный объект в 2 экземплярах в печатном виде. Представляется в комиссию по предупреждению и ликвидации чрезвычайных ситуаций и обеспечению пожарной безопасности в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Суражском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с приложениями, в том числе: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локальная смета на неотложные аварийно-восстановительные работы на объекте;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подписанные фотодокументы (размер фотографии не менее 10 х 15 см).</w:t>
      </w:r>
    </w:p>
    <w:p w:rsidR="003F7712" w:rsidRPr="003F7712" w:rsidRDefault="003F7712" w:rsidP="003F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Par427"/>
      <w:bookmarkEnd w:id="7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**Например: здание двухэтажное, деревянное, кровля шатровая, крытая листовым кровельным оцинкованным железом. Год ввода в эксплуатацию – 1957. Общая площадь остекления – 30 кв. м. Кол-во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тир – 8, в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2-комнатных – 6, однокомнатных – 2. Длина – 17 м. Ширина –17 м. Высота – 8 м. 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Par428"/>
      <w:bookmarkEnd w:id="8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***Например: 1. С крыши сорвано железо кровельное листовое общей площадью 37,5 кв. м, которое восстановлению не подлежит.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Повреждены оконные рамы второго этажа (левая сторона здания) и разбито оконное стекло толщиной 3 мм общей площадью 12 кв. м (и т.д. по всем повреждениям данного объекта).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повреждения (разрушения) для строений: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слабая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разрушено до 30 процентов кровли, окна, двери (восстанавливается за счет органов местного самоуправления, организаций); 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разрушено до 50 процентов кровли, оконные и дверные проемы. В стенах имеются трещины; </w:t>
      </w:r>
    </w:p>
    <w:p w:rsidR="003F7712" w:rsidRPr="003F7712" w:rsidRDefault="003F7712" w:rsidP="003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сильная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разрушены и обрушены свыше 50 процентов стен, 100 процентов кровли.</w:t>
      </w:r>
    </w:p>
    <w:p w:rsidR="003F7712" w:rsidRPr="003F7712" w:rsidRDefault="003F7712" w:rsidP="003F771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F7712" w:rsidRPr="003F7712" w:rsidRDefault="003F7712" w:rsidP="003F771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3F7712" w:rsidRPr="003F7712" w:rsidRDefault="003F7712" w:rsidP="003F771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использования </w:t>
      </w:r>
      <w:proofErr w:type="gram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proofErr w:type="gram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7712" w:rsidRPr="003F7712" w:rsidRDefault="003F7712" w:rsidP="003F771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резервного фонда</w:t>
      </w:r>
    </w:p>
    <w:p w:rsidR="003F7712" w:rsidRPr="003F7712" w:rsidRDefault="003F7712" w:rsidP="003F771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Брянской области</w:t>
      </w:r>
    </w:p>
    <w:p w:rsidR="003F7712" w:rsidRPr="003F7712" w:rsidRDefault="003F7712" w:rsidP="003F7712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финансовый отдел </w:t>
      </w:r>
    </w:p>
    <w:p w:rsidR="003F7712" w:rsidRPr="003F7712" w:rsidRDefault="003F7712" w:rsidP="003F771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3F7712" w:rsidRPr="003F7712" w:rsidRDefault="003F7712" w:rsidP="003F771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контрольно-счетную палату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3F7712" w:rsidRPr="003F7712" w:rsidRDefault="003F7712" w:rsidP="003F7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 Ч Е Т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использовании ассигнований резервного фонда</w:t>
      </w:r>
    </w:p>
    <w:p w:rsidR="003F7712" w:rsidRPr="003F7712" w:rsidRDefault="003F7712" w:rsidP="003F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  </w:t>
      </w:r>
      <w:proofErr w:type="spellStart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3F7712" w:rsidRPr="003F7712" w:rsidRDefault="003F7712" w:rsidP="003F7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4"/>
        <w:gridCol w:w="1454"/>
        <w:gridCol w:w="1979"/>
        <w:gridCol w:w="1269"/>
        <w:gridCol w:w="989"/>
        <w:gridCol w:w="705"/>
        <w:gridCol w:w="1548"/>
      </w:tblGrid>
      <w:tr w:rsidR="003F7712" w:rsidRPr="003F7712" w:rsidTr="003F7712"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Распоря-жение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  тыс. рублей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</w:tr>
      <w:tr w:rsidR="003F7712" w:rsidRPr="003F7712" w:rsidTr="003F7712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</w:t>
            </w: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поручение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F7712" w:rsidRPr="003F7712" w:rsidTr="003F77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12" w:rsidRPr="003F7712" w:rsidRDefault="003F7712" w:rsidP="003F771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F7712" w:rsidRPr="003F7712" w:rsidTr="003F77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712" w:rsidRPr="003F7712" w:rsidTr="003F77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712" w:rsidRPr="003F7712" w:rsidTr="003F77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712" w:rsidRPr="003F7712" w:rsidRDefault="003F7712" w:rsidP="003F771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7712" w:rsidRPr="003F7712" w:rsidRDefault="003F7712" w:rsidP="003F7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 _______________              ________________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(подпись)                                       (Ф.И.О.)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     _______________                     _________________</w:t>
      </w:r>
    </w:p>
    <w:p w:rsidR="003F7712" w:rsidRPr="003F7712" w:rsidRDefault="003F7712" w:rsidP="003F771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(подпись)                                               (Ф.И.О.)</w:t>
      </w:r>
    </w:p>
    <w:p w:rsidR="003F7712" w:rsidRPr="003F7712" w:rsidRDefault="003F7712" w:rsidP="003F7712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5694" w:rsidRDefault="007C5694"/>
    <w:sectPr w:rsidR="007C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12"/>
    <w:rsid w:val="0001517F"/>
    <w:rsid w:val="00031237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C6C61"/>
    <w:rsid w:val="003F7712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A220F"/>
    <w:rsid w:val="009C4496"/>
    <w:rsid w:val="009F7EE4"/>
    <w:rsid w:val="00A4308C"/>
    <w:rsid w:val="00A56858"/>
    <w:rsid w:val="00A65005"/>
    <w:rsid w:val="00AD5788"/>
    <w:rsid w:val="00AD6785"/>
    <w:rsid w:val="00AF458B"/>
    <w:rsid w:val="00B15DE0"/>
    <w:rsid w:val="00B4264B"/>
    <w:rsid w:val="00B80D89"/>
    <w:rsid w:val="00B94965"/>
    <w:rsid w:val="00B9515D"/>
    <w:rsid w:val="00BD0AED"/>
    <w:rsid w:val="00BE0AAF"/>
    <w:rsid w:val="00BE7D9C"/>
    <w:rsid w:val="00C62690"/>
    <w:rsid w:val="00C82AD3"/>
    <w:rsid w:val="00CA502A"/>
    <w:rsid w:val="00CD0474"/>
    <w:rsid w:val="00CE0EE7"/>
    <w:rsid w:val="00D1445E"/>
    <w:rsid w:val="00D2759F"/>
    <w:rsid w:val="00D47BCD"/>
    <w:rsid w:val="00D6360D"/>
    <w:rsid w:val="00D86D20"/>
    <w:rsid w:val="00D92FFD"/>
    <w:rsid w:val="00DB2347"/>
    <w:rsid w:val="00DB673C"/>
    <w:rsid w:val="00E07E2E"/>
    <w:rsid w:val="00E1178D"/>
    <w:rsid w:val="00E22F29"/>
    <w:rsid w:val="00E334E9"/>
    <w:rsid w:val="00E5190D"/>
    <w:rsid w:val="00E65C6F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7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1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basedOn w:val="a"/>
    <w:rsid w:val="003F771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3F7712"/>
    <w:pPr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basedOn w:val="a"/>
    <w:rsid w:val="003F7712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footnote reference"/>
    <w:basedOn w:val="a0"/>
    <w:uiPriority w:val="99"/>
    <w:semiHidden/>
    <w:unhideWhenUsed/>
    <w:rsid w:val="003F7712"/>
    <w:rPr>
      <w:rFonts w:ascii="Times New Roman" w:hAnsi="Times New Roman" w:cs="Times New Roman" w:hint="default"/>
      <w:vertAlign w:val="superscript"/>
    </w:rPr>
  </w:style>
  <w:style w:type="character" w:styleId="a5">
    <w:name w:val="Hyperlink"/>
    <w:basedOn w:val="a0"/>
    <w:uiPriority w:val="99"/>
    <w:semiHidden/>
    <w:unhideWhenUsed/>
    <w:rsid w:val="003F77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7712"/>
    <w:rPr>
      <w:rFonts w:ascii="Arial" w:eastAsia="Times New Roman" w:hAnsi="Arial" w:cs="Arial"/>
      <w:b/>
      <w:bCs/>
      <w:kern w:val="36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7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1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basedOn w:val="a"/>
    <w:rsid w:val="003F771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3F7712"/>
    <w:pPr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basedOn w:val="a"/>
    <w:rsid w:val="003F7712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footnote reference"/>
    <w:basedOn w:val="a0"/>
    <w:uiPriority w:val="99"/>
    <w:semiHidden/>
    <w:unhideWhenUsed/>
    <w:rsid w:val="003F7712"/>
    <w:rPr>
      <w:rFonts w:ascii="Times New Roman" w:hAnsi="Times New Roman" w:cs="Times New Roman" w:hint="default"/>
      <w:vertAlign w:val="superscript"/>
    </w:rPr>
  </w:style>
  <w:style w:type="character" w:styleId="a5">
    <w:name w:val="Hyperlink"/>
    <w:basedOn w:val="a0"/>
    <w:uiPriority w:val="99"/>
    <w:semiHidden/>
    <w:unhideWhenUsed/>
    <w:rsid w:val="003F77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7712"/>
    <w:rPr>
      <w:rFonts w:ascii="Arial" w:eastAsia="Times New Roman" w:hAnsi="Arial" w:cs="Arial"/>
      <w:b/>
      <w:bCs/>
      <w:kern w:val="36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7E66C040A37583ECA9A4B32DDD7631561402D07EF8A5FD0047F0718EED7E82FE471A0F775B276C7EE06t315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.ru/bank/dokumenty/2014/post_727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sur.ru/bank/dokumenty/2014/post_727.htm" TargetMode="External"/><Relationship Id="rId5" Type="http://schemas.openxmlformats.org/officeDocument/2006/relationships/hyperlink" Target="http://admsur.ru/bank/dokumenty/2014/post_72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2019-06-05T12:36:00Z</cp:lastPrinted>
  <dcterms:created xsi:type="dcterms:W3CDTF">2019-06-05T12:35:00Z</dcterms:created>
  <dcterms:modified xsi:type="dcterms:W3CDTF">2019-06-05T12:37:00Z</dcterms:modified>
</cp:coreProperties>
</file>