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ind w:firstLine="709"/>
        <w:jc w:val="right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Приложение к письму Минпромторга России</w:t>
      </w:r>
      <w:r>
        <w:rPr>
          <w:b/>
          <w:bCs/>
          <w:color w:val="000000" w:themeColor="text1"/>
          <w:sz w:val="28"/>
          <w:szCs w:val="28"/>
        </w:rPr>
      </w:r>
    </w:p>
    <w:p>
      <w:pPr>
        <w:pStyle w:val="681"/>
        <w:ind w:firstLine="709"/>
        <w:jc w:val="right"/>
        <w:spacing w:before="0" w:beforeAutospacing="0" w:after="0" w:afterAutospacing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</w:r>
      <w:r>
        <w:rPr>
          <w:b/>
          <w:bCs/>
          <w:color w:val="000000" w:themeColor="text1"/>
          <w:szCs w:val="28"/>
        </w:rPr>
      </w:r>
    </w:p>
    <w:p>
      <w:pPr>
        <w:pStyle w:val="681"/>
        <w:ind w:firstLine="709"/>
        <w:jc w:val="center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Как работать с сервисом по проверке участников</w:t>
      </w:r>
      <w:r>
        <w:rPr>
          <w:b/>
          <w:bCs/>
          <w:color w:val="000000" w:themeColor="text1"/>
          <w:sz w:val="28"/>
          <w:szCs w:val="28"/>
        </w:rPr>
        <w:t xml:space="preserve"> по вопросу готовности участников оборота к разрешительному режиму</w:t>
      </w:r>
      <w:r>
        <w:rPr>
          <w:b/>
          <w:bCs/>
          <w:color w:val="000000" w:themeColor="text1"/>
          <w:sz w:val="28"/>
          <w:szCs w:val="28"/>
        </w:rPr>
      </w:r>
    </w:p>
    <w:p>
      <w:pPr>
        <w:pStyle w:val="681"/>
        <w:ind w:firstLine="709"/>
        <w:jc w:val="center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681"/>
        <w:numPr>
          <w:ilvl w:val="0"/>
          <w:numId w:val="1"/>
        </w:numPr>
        <w:ind w:left="0"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 можете проверять каждого участника отдельно по ссылке</w:t>
      </w:r>
      <w:r>
        <w:rPr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  <w:sz w:val="28"/>
          <w:szCs w:val="28"/>
        </w:rPr>
        <w:br/>
      </w:r>
      <w:hyperlink r:id="rId11" w:tooltip="https://xn--80ajghhoc2aj1c8b.xn--p1ai/business/verification_participants/" w:history="1">
        <w:r>
          <w:rPr>
            <w:rStyle w:val="682"/>
            <w:color w:val="000000" w:themeColor="text1"/>
            <w:sz w:val="28"/>
            <w:szCs w:val="28"/>
          </w:rPr>
          <w:t xml:space="preserve">https://xn--80ajghhoc2aj1c8b.xn--p1ai/business/verification_participants/</w:t>
        </w:r>
      </w:hyperlink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или сделать выгрузку</w:t>
      </w:r>
      <w:bookmarkStart w:id="0" w:name="_GoBack"/>
      <w:r/>
      <w:bookmarkEnd w:id="0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ссылке</w:t>
      </w:r>
      <w:r>
        <w:rPr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  <w:sz w:val="28"/>
          <w:szCs w:val="28"/>
        </w:rPr>
        <w:br/>
      </w:r>
      <w:hyperlink r:id="rId12" w:tooltip="https://xn--80ajghhoc2aj1c8b.xn--p1ai/business/verification_participants_full/" w:history="1">
        <w:r>
          <w:rPr>
            <w:rStyle w:val="682"/>
            <w:color w:val="000000" w:themeColor="text1"/>
            <w:sz w:val="28"/>
            <w:szCs w:val="28"/>
          </w:rPr>
          <w:t xml:space="preserve">https://xn--80ajghhoc2aj1c8b.xn--p1ai/</w:t>
        </w:r>
        <w:r>
          <w:rPr>
            <w:rStyle w:val="682"/>
            <w:color w:val="000000" w:themeColor="text1"/>
            <w:sz w:val="28"/>
            <w:szCs w:val="28"/>
          </w:rPr>
          <w:t xml:space="preserve">business</w:t>
        </w:r>
        <w:r>
          <w:rPr>
            <w:rStyle w:val="682"/>
            <w:color w:val="000000" w:themeColor="text1"/>
            <w:sz w:val="28"/>
            <w:szCs w:val="28"/>
          </w:rPr>
          <w:t xml:space="preserve">/</w:t>
        </w:r>
        <w:r>
          <w:rPr>
            <w:rStyle w:val="682"/>
            <w:color w:val="000000" w:themeColor="text1"/>
            <w:sz w:val="28"/>
            <w:szCs w:val="28"/>
          </w:rPr>
          <w:t xml:space="preserve">verification_participants_full</w:t>
        </w:r>
        <w:r>
          <w:rPr>
            <w:rStyle w:val="682"/>
            <w:color w:val="000000" w:themeColor="text1"/>
            <w:sz w:val="28"/>
            <w:szCs w:val="28"/>
          </w:rPr>
          <w:t xml:space="preserve">/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доступ предоставляется через региональных представителей)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</w:p>
    <w:p>
      <w:pPr>
        <w:pStyle w:val="681"/>
        <w:numPr>
          <w:ilvl w:val="0"/>
          <w:numId w:val="1"/>
        </w:numPr>
        <w:ind w:left="0"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Выберите товарную группу (или несколько товарных групп) и регион, сделайте выгрузку с сайта.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Обращаем внимание, что данные в сервисе – динамические. Данные формируются за период 7 дней с о</w:t>
      </w:r>
      <w:r>
        <w:rPr>
          <w:color w:val="000000" w:themeColor="text1"/>
          <w:sz w:val="28"/>
          <w:szCs w:val="28"/>
        </w:rPr>
        <w:t xml:space="preserve">тступом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несколько </w:t>
      </w:r>
      <w:r>
        <w:rPr>
          <w:color w:val="000000" w:themeColor="text1"/>
          <w:sz w:val="28"/>
          <w:szCs w:val="28"/>
        </w:rPr>
        <w:t xml:space="preserve">дн</w:t>
      </w:r>
      <w:r>
        <w:rPr>
          <w:color w:val="000000" w:themeColor="text1"/>
          <w:sz w:val="28"/>
          <w:szCs w:val="28"/>
        </w:rPr>
        <w:t xml:space="preserve">ей</w:t>
      </w:r>
      <w:r>
        <w:rPr>
          <w:color w:val="000000" w:themeColor="text1"/>
          <w:sz w:val="28"/>
          <w:szCs w:val="28"/>
        </w:rPr>
        <w:t xml:space="preserve"> от даты выгрузки. Например, в выгрузке данных </w:t>
      </w:r>
      <w:r>
        <w:rPr>
          <w:color w:val="000000" w:themeColor="text1"/>
          <w:sz w:val="28"/>
          <w:szCs w:val="28"/>
        </w:rPr>
        <w:t xml:space="preserve">в конкретный </w:t>
      </w:r>
      <w:r>
        <w:rPr>
          <w:color w:val="000000" w:themeColor="text1"/>
          <w:sz w:val="28"/>
          <w:szCs w:val="28"/>
        </w:rPr>
        <w:t xml:space="preserve">день </w:t>
      </w:r>
      <w:r>
        <w:rPr>
          <w:color w:val="000000" w:themeColor="text1"/>
          <w:sz w:val="28"/>
          <w:szCs w:val="28"/>
        </w:rPr>
        <w:t xml:space="preserve">содержатся сведения за период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с 03.05</w:t>
      </w:r>
      <w:r>
        <w:rPr>
          <w:color w:val="000000" w:themeColor="text1"/>
          <w:sz w:val="28"/>
          <w:szCs w:val="28"/>
        </w:rPr>
        <w:t xml:space="preserve">.24</w:t>
      </w:r>
      <w:r>
        <w:rPr>
          <w:color w:val="000000" w:themeColor="text1"/>
          <w:sz w:val="28"/>
          <w:szCs w:val="28"/>
        </w:rPr>
        <w:t xml:space="preserve"> – 10.05.24. В выгрузке данных за </w:t>
      </w:r>
      <w:r>
        <w:rPr>
          <w:color w:val="000000" w:themeColor="text1"/>
          <w:sz w:val="28"/>
          <w:szCs w:val="28"/>
        </w:rPr>
        <w:t xml:space="preserve">следующий день</w:t>
      </w:r>
      <w:r>
        <w:rPr>
          <w:color w:val="000000" w:themeColor="text1"/>
          <w:sz w:val="28"/>
          <w:szCs w:val="28"/>
        </w:rPr>
        <w:t xml:space="preserve"> будут содержаться данные за период с 04.05</w:t>
      </w:r>
      <w:r>
        <w:rPr>
          <w:color w:val="000000" w:themeColor="text1"/>
          <w:sz w:val="28"/>
          <w:szCs w:val="28"/>
        </w:rPr>
        <w:t xml:space="preserve">.24</w:t>
      </w:r>
      <w:r>
        <w:rPr>
          <w:color w:val="000000" w:themeColor="text1"/>
          <w:sz w:val="28"/>
          <w:szCs w:val="28"/>
        </w:rPr>
        <w:t xml:space="preserve"> – 11.05.24 и т.д. Каждый день данные будут отличаться,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т.к. обраб</w:t>
      </w:r>
      <w:r>
        <w:rPr>
          <w:color w:val="000000" w:themeColor="text1"/>
          <w:sz w:val="28"/>
          <w:szCs w:val="28"/>
        </w:rPr>
        <w:t xml:space="preserve">атываются данные из разных дат.</w:t>
      </w:r>
      <w:r>
        <w:rPr>
          <w:color w:val="000000" w:themeColor="text1"/>
          <w:sz w:val="28"/>
          <w:szCs w:val="28"/>
        </w:rPr>
      </w:r>
    </w:p>
    <w:p>
      <w:pPr>
        <w:pStyle w:val="681"/>
        <w:numPr>
          <w:ilvl w:val="0"/>
          <w:numId w:val="1"/>
        </w:numPr>
        <w:ind w:left="0"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Работа с фильтрами.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Доступны 3 вида фильтров: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>
        <w:rPr>
          <w:b/>
          <w:bCs/>
          <w:color w:val="000000" w:themeColor="text1"/>
          <w:sz w:val="28"/>
          <w:szCs w:val="28"/>
        </w:rPr>
        <w:t xml:space="preserve">Организация отправляет чеки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в систему приходят продажи от этой торговой точки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</w:t>
      </w:r>
      <w:r>
        <w:rPr>
          <w:b/>
          <w:bCs/>
          <w:color w:val="000000" w:themeColor="text1"/>
          <w:sz w:val="28"/>
          <w:szCs w:val="28"/>
        </w:rPr>
        <w:t xml:space="preserve">. Организации не подключены к разрешительному режиму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–</w:t>
      </w: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систему приходят чеки, но без проверок по разрешительному режиму. Ни одна </w:t>
      </w:r>
      <w:r>
        <w:rPr>
          <w:color w:val="000000" w:themeColor="text1"/>
          <w:sz w:val="28"/>
          <w:szCs w:val="28"/>
        </w:rPr>
        <w:t xml:space="preserve">касса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не осуществляет проверки.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b/>
          <w:bCs/>
          <w:color w:val="000000" w:themeColor="text1"/>
          <w:sz w:val="28"/>
          <w:szCs w:val="28"/>
        </w:rPr>
        <w:t xml:space="preserve">Организации частично подключены к разрешительному режиму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–</w:t>
      </w: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часть касс осуществляет проверки, а часть нет.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Выбрать можно </w:t>
      </w:r>
      <w:r>
        <w:rPr>
          <w:b/>
          <w:bCs/>
          <w:color w:val="000000" w:themeColor="text1"/>
          <w:sz w:val="28"/>
          <w:szCs w:val="28"/>
        </w:rPr>
        <w:t xml:space="preserve">только один из фильтров</w:t>
      </w:r>
      <w:r>
        <w:rPr>
          <w:color w:val="000000" w:themeColor="text1"/>
          <w:sz w:val="28"/>
          <w:szCs w:val="28"/>
        </w:rPr>
        <w:t xml:space="preserve">. После выбора фильтра необходимо нажать кнопку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Найти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Выгружать участников </w:t>
      </w:r>
      <w:r>
        <w:rPr>
          <w:color w:val="000000" w:themeColor="text1"/>
          <w:sz w:val="28"/>
          <w:szCs w:val="28"/>
        </w:rPr>
        <w:t xml:space="preserve">рекомендуем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только по одной товарной группе</w:t>
      </w:r>
      <w:r>
        <w:rPr>
          <w:b/>
          <w:bCs/>
          <w:color w:val="000000" w:themeColor="text1"/>
          <w:sz w:val="28"/>
          <w:szCs w:val="28"/>
        </w:rPr>
        <w:t xml:space="preserve">,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так как строки по нескольким товарным группам будут дублироваться.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над таблицей выведена </w:t>
      </w:r>
      <w:r>
        <w:rPr>
          <w:b/>
          <w:bCs/>
          <w:color w:val="000000" w:themeColor="text1"/>
          <w:sz w:val="28"/>
          <w:szCs w:val="28"/>
        </w:rPr>
        <w:t xml:space="preserve">сумма торговых точек и касс</w:t>
      </w:r>
      <w:r>
        <w:rPr>
          <w:color w:val="000000" w:themeColor="text1"/>
          <w:sz w:val="28"/>
          <w:szCs w:val="28"/>
        </w:rPr>
        <w:t xml:space="preserve"> по выбранному параметру.</w:t>
      </w:r>
      <w:r>
        <w:rPr>
          <w:color w:val="000000" w:themeColor="text1"/>
          <w:sz w:val="28"/>
          <w:szCs w:val="28"/>
        </w:rPr>
      </w:r>
    </w:p>
    <w:p>
      <w:pPr>
        <w:pStyle w:val="681"/>
        <w:numPr>
          <w:ilvl w:val="0"/>
          <w:numId w:val="1"/>
        </w:numPr>
        <w:ind w:left="0"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Подробно о требованиях к рознице по разрешительному режиму и сроках вступления в силу вы можете узнать из статьи </w:t>
      </w:r>
      <w:hyperlink r:id="rId13" w:tooltip="https://markirovka.ru/community/rezhim-proverok-na-kassakh/rezhim-proverok-na-kassakh" w:history="1">
        <w:r>
          <w:rPr>
            <w:rStyle w:val="682"/>
            <w:color w:val="000000" w:themeColor="text1"/>
            <w:sz w:val="28"/>
            <w:szCs w:val="28"/>
          </w:rPr>
          <w:t xml:space="preserve">https://markirovka.ru/community/rezhim-proverok-na-kassakh/rezhim-proverok-na-kassakh</w:t>
        </w:r>
      </w:hyperlink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</w:p>
    <w:p>
      <w:pPr>
        <w:pStyle w:val="681"/>
        <w:numPr>
          <w:ilvl w:val="0"/>
          <w:numId w:val="1"/>
        </w:numPr>
        <w:ind w:left="0" w:firstLine="709"/>
        <w:jc w:val="both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Если вы не воспользовались фильтрами, то можете осуществить фильтрацию 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en-US"/>
        </w:rPr>
        <w:t xml:space="preserve">Excel</w:t>
      </w:r>
      <w:r>
        <w:rPr>
          <w:b/>
          <w:bCs/>
          <w:color w:val="000000" w:themeColor="text1"/>
          <w:sz w:val="28"/>
          <w:szCs w:val="28"/>
        </w:rPr>
        <w:t xml:space="preserve">:</w:t>
      </w:r>
      <w:r>
        <w:rPr>
          <w:b/>
          <w:color w:val="000000" w:themeColor="text1"/>
          <w:sz w:val="28"/>
          <w:szCs w:val="28"/>
        </w:rPr>
      </w:r>
    </w:p>
    <w:p>
      <w:pPr>
        <w:pStyle w:val="681"/>
        <w:numPr>
          <w:ilvl w:val="1"/>
          <w:numId w:val="1"/>
        </w:numPr>
        <w:ind w:left="0"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Поиск всех точек продаж, передающих чеки, и посчитать количество касс в них: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полученном файле для определения всех точек продаж, которые фактически осуществляют деятельность необходимо отфильтровать данные по полю</w:t>
      </w:r>
      <w:r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Отправка чека**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(выбрать </w:t>
      </w:r>
      <w:r>
        <w:rPr>
          <w:b/>
          <w:bCs/>
          <w:color w:val="000000" w:themeColor="text1"/>
          <w:sz w:val="28"/>
          <w:szCs w:val="28"/>
        </w:rPr>
        <w:t xml:space="preserve">«Да»</w:t>
      </w:r>
      <w:r>
        <w:rPr>
          <w:color w:val="000000" w:themeColor="text1"/>
          <w:sz w:val="28"/>
          <w:szCs w:val="28"/>
        </w:rPr>
        <w:t xml:space="preserve">).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результате будет получен список точек продаж, передающих чеки.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Для подсчета количества касс в этих точках продаж необходимо просуммировать колонки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Касс подключено к разрешительному режиму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Касс не подключено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к разрешительному режиму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b/>
          <w:bCs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606040"/>
                <wp:effectExtent l="0" t="0" r="317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940425" cy="2606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75pt;height:205.20pt;mso-wrap-distance-left:0.00pt;mso-wrap-distance-top:0.00pt;mso-wrap-distance-right:0.00pt;mso-wrap-distance-bottom:0.0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681"/>
        <w:numPr>
          <w:ilvl w:val="1"/>
          <w:numId w:val="1"/>
        </w:numPr>
        <w:ind w:left="0" w:firstLine="709"/>
        <w:jc w:val="both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Поиск точек продаж, передающих чеки, но не подключенных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к разрешительному режиму:</w:t>
      </w:r>
      <w:r>
        <w:rPr>
          <w:b/>
          <w:bCs/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полученном файле для определения участников, которые не работают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с разрешительным режимом необходимо отфиль</w:t>
      </w:r>
      <w:r>
        <w:rPr>
          <w:color w:val="000000" w:themeColor="text1"/>
          <w:sz w:val="28"/>
          <w:szCs w:val="28"/>
        </w:rPr>
        <w:t xml:space="preserve">тровать данные по полю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Отправка чека**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(выбрать </w:t>
      </w:r>
      <w:r>
        <w:rPr>
          <w:b/>
          <w:bCs/>
          <w:color w:val="000000" w:themeColor="text1"/>
          <w:sz w:val="28"/>
          <w:szCs w:val="28"/>
        </w:rPr>
        <w:t xml:space="preserve">«Да»</w:t>
      </w:r>
      <w:r>
        <w:rPr>
          <w:color w:val="000000" w:themeColor="text1"/>
          <w:sz w:val="28"/>
          <w:szCs w:val="28"/>
        </w:rPr>
        <w:t xml:space="preserve">) и по полю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Кассы подключены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к разрешительному режиму</w:t>
      </w:r>
      <w:r>
        <w:rPr>
          <w:b/>
          <w:bCs/>
          <w:color w:val="000000" w:themeColor="text1"/>
          <w:sz w:val="28"/>
          <w:szCs w:val="28"/>
        </w:rPr>
        <w:t xml:space="preserve">**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(выбрать </w:t>
      </w:r>
      <w:r>
        <w:rPr>
          <w:b/>
          <w:bCs/>
          <w:color w:val="000000" w:themeColor="text1"/>
          <w:sz w:val="28"/>
          <w:szCs w:val="28"/>
        </w:rPr>
        <w:t xml:space="preserve">«Нет»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результате будет получен список точек продаж, </w:t>
      </w:r>
      <w:r>
        <w:rPr>
          <w:color w:val="000000" w:themeColor="text1"/>
          <w:sz w:val="28"/>
          <w:szCs w:val="28"/>
        </w:rPr>
        <w:t xml:space="preserve">в которых 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ни одна касса</w:t>
      </w:r>
      <w:r>
        <w:rPr>
          <w:b/>
          <w:bCs/>
          <w:color w:val="000000" w:themeColor="text1"/>
          <w:sz w:val="28"/>
          <w:szCs w:val="28"/>
          <w:u w:val="single"/>
        </w:rPr>
        <w:br/>
      </w:r>
      <w:r>
        <w:rPr>
          <w:color w:val="000000" w:themeColor="text1"/>
          <w:sz w:val="28"/>
          <w:szCs w:val="28"/>
        </w:rPr>
        <w:t xml:space="preserve">не подключена к разрешительному режиму.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256155"/>
                <wp:effectExtent l="0" t="0" r="3175" b="0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40425" cy="2256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75pt;height:177.65pt;mso-wrap-distance-left:0.00pt;mso-wrap-distance-top:0.00pt;mso-wrap-distance-right:0.00pt;mso-wrap-distance-bottom:0.0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681"/>
        <w:numPr>
          <w:ilvl w:val="1"/>
          <w:numId w:val="1"/>
        </w:numPr>
        <w:ind w:left="0" w:firstLine="709"/>
        <w:jc w:val="both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Поиск точек продаж, передающих чеки и подключенных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к разрешительному режиму, в которых присутствует часть касс,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не подключенных к разрешительному режиму:</w:t>
      </w:r>
      <w:r>
        <w:rPr>
          <w:b/>
          <w:bCs/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полученном файле для определения </w:t>
      </w:r>
      <w:r>
        <w:rPr>
          <w:color w:val="000000" w:themeColor="text1"/>
          <w:sz w:val="28"/>
          <w:szCs w:val="28"/>
        </w:rPr>
        <w:t xml:space="preserve">точек продаж, в которых часть касс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не подключены к разрешительному режиму,</w:t>
      </w:r>
      <w:r>
        <w:rPr>
          <w:color w:val="000000" w:themeColor="text1"/>
          <w:sz w:val="28"/>
          <w:szCs w:val="28"/>
        </w:rPr>
        <w:t xml:space="preserve"> необходимо отфильтровать данные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по полю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Отправка чека**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(выбрать </w:t>
      </w:r>
      <w:r>
        <w:rPr>
          <w:b/>
          <w:bCs/>
          <w:color w:val="000000" w:themeColor="text1"/>
          <w:sz w:val="28"/>
          <w:szCs w:val="28"/>
        </w:rPr>
        <w:t xml:space="preserve">«Да»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, по полю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Кассы подключены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к разрешительному режиму</w:t>
      </w:r>
      <w:r>
        <w:rPr>
          <w:b/>
          <w:bCs/>
          <w:color w:val="000000" w:themeColor="text1"/>
          <w:sz w:val="28"/>
          <w:szCs w:val="28"/>
        </w:rPr>
        <w:t xml:space="preserve">**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(выбрать </w:t>
      </w:r>
      <w:r>
        <w:rPr>
          <w:b/>
          <w:bCs/>
          <w:color w:val="000000" w:themeColor="text1"/>
          <w:sz w:val="28"/>
          <w:szCs w:val="28"/>
        </w:rPr>
        <w:t xml:space="preserve">«Да»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, по полю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Касс не подключено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к разрешительному режиму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(выбрать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все</w:t>
      </w:r>
      <w:r>
        <w:rPr>
          <w:b/>
          <w:bCs/>
          <w:color w:val="000000" w:themeColor="text1"/>
          <w:sz w:val="28"/>
          <w:szCs w:val="28"/>
        </w:rPr>
        <w:t xml:space="preserve">, кроме нуля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результате будет получен список точек продаж, в которых 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часть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касс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не подключены к разрешительному режиму.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847340"/>
                <wp:effectExtent l="0" t="0" r="3175" b="0"/>
                <wp:docPr id="3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940425" cy="2847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67.75pt;height:224.20pt;mso-wrap-distance-left:0.00pt;mso-wrap-distance-top:0.00pt;mso-wrap-distance-right:0.00pt;mso-wrap-distance-bottom:0.00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Работа с торговыми сетями:</w:t>
      </w:r>
      <w:r>
        <w:rPr>
          <w:b/>
          <w:bCs/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торговых сетей много точек в разных </w:t>
      </w:r>
      <w:r>
        <w:rPr>
          <w:color w:val="000000" w:themeColor="text1"/>
          <w:sz w:val="28"/>
          <w:szCs w:val="28"/>
        </w:rPr>
        <w:t xml:space="preserve">субъектах</w:t>
      </w:r>
      <w:r>
        <w:rPr>
          <w:color w:val="000000" w:themeColor="text1"/>
          <w:sz w:val="28"/>
          <w:szCs w:val="28"/>
        </w:rPr>
        <w:t xml:space="preserve"> Росси</w:t>
      </w:r>
      <w:r>
        <w:rPr>
          <w:color w:val="000000" w:themeColor="text1"/>
          <w:sz w:val="28"/>
          <w:szCs w:val="28"/>
        </w:rPr>
        <w:t xml:space="preserve">йской Федерации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Для повышения эффективности необходимо работать именно с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головными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организациями сетей. Списки таких организаций по вашему </w:t>
      </w:r>
      <w:r>
        <w:rPr>
          <w:color w:val="000000" w:themeColor="text1"/>
          <w:sz w:val="28"/>
          <w:szCs w:val="28"/>
        </w:rPr>
        <w:t xml:space="preserve">субъекту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можно</w:t>
      </w:r>
      <w:r>
        <w:rPr>
          <w:color w:val="000000" w:themeColor="text1"/>
          <w:sz w:val="28"/>
          <w:szCs w:val="28"/>
        </w:rPr>
        <w:t xml:space="preserve"> получить</w:t>
      </w:r>
      <w:r>
        <w:rPr>
          <w:color w:val="000000" w:themeColor="text1"/>
          <w:sz w:val="28"/>
          <w:szCs w:val="28"/>
        </w:rPr>
        <w:t xml:space="preserve"> у региональных представителей</w:t>
      </w:r>
      <w:r>
        <w:rPr>
          <w:color w:val="000000" w:themeColor="text1"/>
          <w:sz w:val="28"/>
          <w:szCs w:val="28"/>
        </w:rPr>
        <w:br/>
        <w:t xml:space="preserve">ООО «Оператор-ЦРПТ»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выгрузке организации с пометкой торговая сеть следует удалить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 не использовать в работе. Сервис направлен в первую очередь на работу с несетевой розницей.</w:t>
      </w:r>
      <w:r>
        <w:rPr>
          <w:b/>
          <w:bCs/>
          <w:color w:val="000000" w:themeColor="text1"/>
          <w:sz w:val="28"/>
          <w:szCs w:val="28"/>
        </w:rPr>
        <w:br w:type="page" w:clear="all"/>
      </w:r>
      <w:r>
        <w:rPr>
          <w:b/>
          <w:bCs/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Что значат поля сервиса: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Название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азвание организации, под которым она зарегистрирована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государственной информационной систем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мониторинга за оборотом товаров, подлежащих обязательной марк</w:t>
      </w:r>
      <w:r>
        <w:rPr>
          <w:color w:val="000000" w:themeColor="text1"/>
          <w:sz w:val="28"/>
          <w:szCs w:val="28"/>
        </w:rPr>
        <w:t xml:space="preserve">ировке средствами идентификации (далее – ГИС МТ)</w:t>
      </w:r>
      <w:r>
        <w:rPr>
          <w:color w:val="000000" w:themeColor="text1"/>
          <w:sz w:val="28"/>
          <w:szCs w:val="28"/>
        </w:rPr>
        <w:t xml:space="preserve">.В случае, если участник не зарегистрирован в ГИС МТ, название будет отсутствовать в выгрузке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Торговая сеть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– пометка ставится в случае, если точка относится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к сети. В фильтре выберите поле пустые, чтобы отфильтровать компании, о</w:t>
      </w:r>
      <w:r>
        <w:rPr>
          <w:color w:val="000000" w:themeColor="text1"/>
          <w:sz w:val="28"/>
          <w:szCs w:val="28"/>
        </w:rPr>
        <w:t xml:space="preserve">тносящиеся к несетевой рознице;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ИНН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идентификационный номер налогоплательщика</w:t>
      </w:r>
      <w:r>
        <w:rPr>
          <w:color w:val="000000" w:themeColor="text1"/>
          <w:sz w:val="28"/>
          <w:szCs w:val="28"/>
        </w:rPr>
        <w:t xml:space="preserve">, под которым зарегистрирован участник в ГИС МТ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Регион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е</w:t>
      </w:r>
      <w:r>
        <w:rPr>
          <w:color w:val="000000" w:themeColor="text1"/>
          <w:sz w:val="28"/>
          <w:szCs w:val="28"/>
        </w:rPr>
        <w:t xml:space="preserve">сли точка передает чеки, регион определяется из чека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по фактическому месту деятельности. Если точка не передает чеки, регион определяется по данным, ука</w:t>
      </w:r>
      <w:r>
        <w:rPr>
          <w:color w:val="000000" w:themeColor="text1"/>
          <w:sz w:val="28"/>
          <w:szCs w:val="28"/>
        </w:rPr>
        <w:t xml:space="preserve">занным при регистрации в ГИС МТ;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Адрес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– о</w:t>
      </w:r>
      <w:r>
        <w:rPr>
          <w:color w:val="000000" w:themeColor="text1"/>
          <w:sz w:val="28"/>
          <w:szCs w:val="28"/>
        </w:rPr>
        <w:t xml:space="preserve">пределяется из чека по фактическому месту деятельности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или по данным указанным в ГИС</w:t>
      </w:r>
      <w:r>
        <w:rPr>
          <w:color w:val="000000" w:themeColor="text1"/>
          <w:sz w:val="28"/>
          <w:szCs w:val="28"/>
        </w:rPr>
        <w:t xml:space="preserve"> МТ в случае отсутствия чеков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Адрес не верифицирован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пометка ставится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есл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удалось</w:t>
      </w:r>
      <w:r>
        <w:rPr>
          <w:color w:val="000000" w:themeColor="text1"/>
          <w:sz w:val="28"/>
          <w:szCs w:val="28"/>
        </w:rPr>
        <w:t xml:space="preserve"> перепроверить адрес участника, который он указал при регистрации кассы.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Это связано с некорректным занесением адреса участником. Чаще всего эти адреса соответствует реальным точка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Регистрация в ГИС МТ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ГИС МТ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передаются</w:t>
      </w:r>
      <w:r>
        <w:rPr>
          <w:color w:val="000000" w:themeColor="text1"/>
          <w:sz w:val="28"/>
          <w:szCs w:val="28"/>
        </w:rPr>
        <w:t xml:space="preserve"> чеки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участника,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но в поле регистрация указано «Нет». В данном случае необходимо порекомендоват</w:t>
      </w:r>
      <w:r>
        <w:rPr>
          <w:color w:val="000000" w:themeColor="text1"/>
          <w:sz w:val="28"/>
          <w:szCs w:val="28"/>
        </w:rPr>
        <w:t xml:space="preserve">ь участнику зарегистрироваться в</w:t>
      </w:r>
      <w:r>
        <w:rPr>
          <w:color w:val="000000" w:themeColor="text1"/>
          <w:sz w:val="28"/>
          <w:szCs w:val="28"/>
        </w:rPr>
        <w:t xml:space="preserve"> ГИС МТ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так как отсутствие </w:t>
      </w:r>
      <w:r>
        <w:rPr>
          <w:color w:val="000000" w:themeColor="text1"/>
          <w:sz w:val="28"/>
          <w:szCs w:val="28"/>
        </w:rPr>
        <w:t xml:space="preserve">регистрации является нарушением;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b/>
          <w:bCs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Регистрация мест деятельности в ЕГАИС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ligatures w14:val="none"/>
        </w:rPr>
        <w:t xml:space="preserve">по одному и тому же адресу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ligatures w14:val="none"/>
        </w:rPr>
        <w:t xml:space="preserve">может быть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ligatures w14:val="none"/>
        </w:rPr>
        <w:t xml:space="preserve">указано несколько строк. В одной строке указано «Да», в другой «Нет».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ligatures w14:val="none"/>
        </w:rPr>
        <w:br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ligatures w14:val="none"/>
        </w:rPr>
        <w:t xml:space="preserve">Это связано с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ligatures w14:val="none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ligatures w14:val="none"/>
        </w:rPr>
        <w:t xml:space="preserve">задвоением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ligatures w14:val="none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ligatures w14:val="none"/>
        </w:rPr>
        <w:t xml:space="preserve"> данных, которые подали участники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ligatures w14:val="none"/>
        </w:rPr>
        <w:t xml:space="preserve">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ligatures w14:val="none"/>
        </w:rPr>
        <w:t xml:space="preserve">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Если вы видите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строки с одинаковым адресом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 бы в одной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строке есть слово – «Да», значит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подключил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осуществления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</w:rPr>
      </w:r>
      <w:r/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Отправка документа постановки на кран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этот пункт актуален только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для участников, которые осуществляют реализацию разливного пива (розница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HoReCa</w:t>
      </w:r>
      <w:r>
        <w:rPr>
          <w:color w:val="000000" w:themeColor="text1"/>
          <w:sz w:val="28"/>
          <w:szCs w:val="28"/>
        </w:rPr>
        <w:t xml:space="preserve">). Данные</w:t>
      </w:r>
      <w:r>
        <w:rPr>
          <w:color w:val="000000" w:themeColor="text1"/>
          <w:sz w:val="28"/>
          <w:szCs w:val="28"/>
        </w:rPr>
        <w:t xml:space="preserve"> о торговле</w:t>
      </w:r>
      <w:r>
        <w:rPr>
          <w:color w:val="000000" w:themeColor="text1"/>
          <w:sz w:val="28"/>
          <w:szCs w:val="28"/>
        </w:rPr>
        <w:t xml:space="preserve"> организаци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разливным пивом находятся в зоне ответственности региональных подразделений </w:t>
      </w:r>
      <w:r>
        <w:rPr>
          <w:color w:val="000000" w:themeColor="text1"/>
          <w:sz w:val="28"/>
          <w:szCs w:val="28"/>
        </w:rPr>
        <w:t xml:space="preserve">по контролю алкогольного рынка;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Отправка чека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тправка чека обязательна для розничных организаций, торгующих табаком и разливным пивом. С 1 июня 2024 г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t xml:space="preserve"> становится обязательной для розничных организаций, торгующих упакованным пивом (в бутылке</w:t>
      </w:r>
      <w:r>
        <w:rPr>
          <w:color w:val="000000" w:themeColor="text1"/>
          <w:sz w:val="28"/>
          <w:szCs w:val="28"/>
        </w:rPr>
        <w:t xml:space="preserve"> / </w:t>
      </w:r>
      <w:r>
        <w:rPr>
          <w:color w:val="000000" w:themeColor="text1"/>
          <w:sz w:val="28"/>
          <w:szCs w:val="28"/>
        </w:rPr>
        <w:t xml:space="preserve">банке).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  <w:lang w:val="en-US"/>
        </w:rPr>
        <w:t xml:space="preserve">HoReCa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отправка чека </w:t>
      </w:r>
      <w:r>
        <w:rPr>
          <w:color w:val="000000" w:themeColor="text1"/>
          <w:sz w:val="28"/>
          <w:szCs w:val="28"/>
        </w:rPr>
        <w:t xml:space="preserve">с указанием кода маркировки </w:t>
      </w:r>
      <w:r>
        <w:rPr>
          <w:color w:val="000000" w:themeColor="text1"/>
          <w:sz w:val="28"/>
          <w:szCs w:val="28"/>
        </w:rPr>
        <w:t xml:space="preserve">не обязательна</w:t>
      </w:r>
      <w:r>
        <w:rPr>
          <w:color w:val="000000" w:themeColor="text1"/>
          <w:sz w:val="28"/>
          <w:szCs w:val="28"/>
        </w:rPr>
        <w:t xml:space="preserve">, можно отправлять только </w:t>
      </w:r>
      <w:r>
        <w:rPr>
          <w:color w:val="000000" w:themeColor="text1"/>
          <w:sz w:val="28"/>
          <w:szCs w:val="28"/>
          <w:lang w:val="en-US"/>
        </w:rPr>
        <w:t xml:space="preserve">GTIN</w:t>
      </w:r>
      <w:r>
        <w:rPr>
          <w:color w:val="000000" w:themeColor="text1"/>
          <w:sz w:val="28"/>
          <w:szCs w:val="28"/>
        </w:rPr>
        <w:t xml:space="preserve"> (наименование)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t xml:space="preserve"> В таком случае в колонке будет у</w:t>
      </w:r>
      <w:r>
        <w:rPr>
          <w:color w:val="000000" w:themeColor="text1"/>
          <w:sz w:val="28"/>
          <w:szCs w:val="28"/>
        </w:rPr>
        <w:t xml:space="preserve">казано значение – не применимо;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Кассы подключены к разрешительному режиму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b/>
          <w:bCs/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сли хотя бы одна касса передает данные с проверками по разрешительному режиму, то в данной строке будет указано «Да». Но в розничной точке может быть несколько касс, рекоме</w:t>
      </w:r>
      <w:r>
        <w:rPr>
          <w:color w:val="000000" w:themeColor="text1"/>
          <w:sz w:val="28"/>
          <w:szCs w:val="28"/>
        </w:rPr>
        <w:t xml:space="preserve">ндуется проверять колонки с количест</w:t>
      </w:r>
      <w:r>
        <w:rPr>
          <w:color w:val="000000" w:themeColor="text1"/>
          <w:sz w:val="28"/>
          <w:szCs w:val="28"/>
        </w:rPr>
        <w:t xml:space="preserve">вом </w:t>
      </w:r>
      <w:r>
        <w:rPr>
          <w:color w:val="000000" w:themeColor="text1"/>
          <w:sz w:val="28"/>
          <w:szCs w:val="28"/>
        </w:rPr>
        <w:t xml:space="preserve">касс,</w:t>
      </w:r>
      <w:r>
        <w:rPr>
          <w:color w:val="000000" w:themeColor="text1"/>
          <w:sz w:val="28"/>
          <w:szCs w:val="28"/>
        </w:rPr>
        <w:t xml:space="preserve"> подклю</w:t>
      </w:r>
      <w:r>
        <w:rPr>
          <w:color w:val="000000" w:themeColor="text1"/>
          <w:sz w:val="28"/>
          <w:szCs w:val="28"/>
        </w:rPr>
        <w:t xml:space="preserve">ченны</w:t>
      </w:r>
      <w:r>
        <w:rPr>
          <w:color w:val="000000" w:themeColor="text1"/>
          <w:sz w:val="28"/>
          <w:szCs w:val="28"/>
        </w:rPr>
        <w:t xml:space="preserve">х</w:t>
      </w:r>
      <w:r>
        <w:rPr>
          <w:color w:val="000000" w:themeColor="text1"/>
          <w:sz w:val="28"/>
          <w:szCs w:val="28"/>
        </w:rPr>
        <w:t xml:space="preserve"> к разрешительному режиму;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Торговая группа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сли один участник осуществляет реализацию и табака, и пива, то в выгрузке будет указано</w:t>
      </w:r>
      <w:r>
        <w:rPr>
          <w:color w:val="000000" w:themeColor="text1"/>
          <w:sz w:val="28"/>
          <w:szCs w:val="28"/>
        </w:rPr>
        <w:t xml:space="preserve"> две</w:t>
      </w:r>
      <w:r>
        <w:rPr>
          <w:color w:val="000000" w:themeColor="text1"/>
          <w:sz w:val="28"/>
          <w:szCs w:val="28"/>
        </w:rPr>
        <w:t xml:space="preserve"> отдельные с</w:t>
      </w:r>
      <w:r>
        <w:rPr>
          <w:color w:val="000000" w:themeColor="text1"/>
          <w:sz w:val="28"/>
          <w:szCs w:val="28"/>
        </w:rPr>
        <w:t xml:space="preserve">троки по каждой товарной группе;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Касс подключено к разрешительному режиму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b/>
          <w:bCs/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количест</w:t>
      </w:r>
      <w:r>
        <w:rPr>
          <w:color w:val="000000" w:themeColor="text1"/>
          <w:sz w:val="28"/>
          <w:szCs w:val="28"/>
        </w:rPr>
        <w:t xml:space="preserve">во касс,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от которых приходят чеки </w:t>
      </w:r>
      <w:r>
        <w:rPr>
          <w:color w:val="000000" w:themeColor="text1"/>
          <w:sz w:val="28"/>
          <w:szCs w:val="28"/>
        </w:rPr>
        <w:t xml:space="preserve">в ГИС МТ </w:t>
      </w:r>
      <w:r>
        <w:rPr>
          <w:color w:val="000000" w:themeColor="text1"/>
          <w:sz w:val="28"/>
          <w:szCs w:val="28"/>
        </w:rPr>
        <w:t xml:space="preserve">с проверками по разрешительному режиму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</w:rPr>
      </w:r>
    </w:p>
    <w:p>
      <w:pPr>
        <w:pStyle w:val="681"/>
        <w:ind w:firstLine="709"/>
        <w:jc w:val="both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Касс не подключено к разрешительному режиму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color w:val="000000" w:themeColor="text1"/>
          <w:sz w:val="28"/>
          <w:szCs w:val="28"/>
        </w:rPr>
        <w:t xml:space="preserve">–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количест</w:t>
      </w:r>
      <w:r>
        <w:rPr>
          <w:color w:val="000000" w:themeColor="text1"/>
          <w:sz w:val="28"/>
          <w:szCs w:val="28"/>
        </w:rPr>
        <w:t xml:space="preserve">во</w:t>
      </w:r>
      <w:r>
        <w:rPr>
          <w:color w:val="000000" w:themeColor="text1"/>
          <w:sz w:val="28"/>
          <w:szCs w:val="28"/>
        </w:rPr>
        <w:t xml:space="preserve"> касс,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от которых приходят чеки БЕЗ проверок по разрешительному режиму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28225920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4"/>
      </w:rPr>
    </w:sdtPr>
    <w:sdtContent>
      <w:p>
        <w:pPr>
          <w:pStyle w:val="692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 xml:space="preserve">6</w:t>
        </w:r>
        <w:r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 w:cs="Times New Roman"/>
            <w:sz w:val="24"/>
          </w:rPr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Times New Roman" w:hAnsi="Times New Roman" w:cs="Times New Roman"/>
        <w:color w:val="000000"/>
        <w:sz w:val="28"/>
      </w:rPr>
    </w:lvl>
    <w:lvl w:ilvl="1">
      <w:start w:val="1"/>
      <w:numFmt w:val="decimal"/>
      <w:isLgl/>
      <w:suff w:val="tab"/>
      <w:lvlText w:val="%1.%2."/>
      <w:lvlJc w:val="left"/>
      <w:pPr>
        <w:ind w:left="360" w:hanging="360"/>
      </w:pPr>
      <w:rPr>
        <w:rFonts w:hint="default" w:ascii="Times New Roman" w:hAnsi="Times New Roman" w:cs="Times New Roman"/>
        <w:b/>
        <w:bCs/>
        <w:color w:val="000000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 w:ascii="Arial" w:hAnsi="Arial" w:cs="Arial"/>
        <w:color w:val="000000"/>
        <w:sz w:val="22"/>
      </w:rPr>
    </w:lvl>
    <w:lvl w:ilvl="3">
      <w:start w:val="1"/>
      <w:numFmt w:val="decimal"/>
      <w:isLgl/>
      <w:suff w:val="tab"/>
      <w:lvlText w:val="%1.%2.%3.%4."/>
      <w:lvlJc w:val="left"/>
      <w:pPr>
        <w:ind w:left="720" w:hanging="720"/>
      </w:pPr>
      <w:rPr>
        <w:rFonts w:hint="default" w:ascii="Arial" w:hAnsi="Arial" w:cs="Arial"/>
        <w:color w:val="000000"/>
        <w:sz w:val="22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 w:ascii="Arial" w:hAnsi="Arial" w:cs="Arial"/>
        <w:color w:val="000000"/>
        <w:sz w:val="22"/>
      </w:rPr>
    </w:lvl>
    <w:lvl w:ilvl="5">
      <w:start w:val="1"/>
      <w:numFmt w:val="decimal"/>
      <w:isLgl/>
      <w:suff w:val="tab"/>
      <w:lvlText w:val="%1.%2.%3.%4.%5.%6."/>
      <w:lvlJc w:val="left"/>
      <w:pPr>
        <w:ind w:left="1080" w:hanging="1080"/>
      </w:pPr>
      <w:rPr>
        <w:rFonts w:hint="default" w:ascii="Arial" w:hAnsi="Arial" w:cs="Arial"/>
        <w:color w:val="000000"/>
        <w:sz w:val="22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440"/>
      </w:pPr>
      <w:rPr>
        <w:rFonts w:hint="default" w:ascii="Arial" w:hAnsi="Arial" w:cs="Arial"/>
        <w:color w:val="000000"/>
        <w:sz w:val="22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440"/>
      </w:pPr>
      <w:rPr>
        <w:rFonts w:hint="default" w:ascii="Arial" w:hAnsi="Arial" w:cs="Arial"/>
        <w:color w:val="000000"/>
        <w:sz w:val="22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800"/>
      </w:pPr>
      <w:rPr>
        <w:rFonts w:hint="default" w:ascii="Arial" w:hAnsi="Arial" w:cs="Arial"/>
        <w:color w:val="00000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7"/>
    <w:next w:val="67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7"/>
    <w:next w:val="67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7"/>
    <w:next w:val="67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7"/>
    <w:next w:val="67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7"/>
    <w:next w:val="67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7"/>
    <w:next w:val="67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7"/>
    <w:next w:val="67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7"/>
    <w:next w:val="67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7"/>
    <w:next w:val="67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7"/>
    <w:next w:val="67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8"/>
    <w:link w:val="34"/>
    <w:uiPriority w:val="10"/>
    <w:rPr>
      <w:sz w:val="48"/>
      <w:szCs w:val="48"/>
    </w:rPr>
  </w:style>
  <w:style w:type="paragraph" w:styleId="36">
    <w:name w:val="Subtitle"/>
    <w:basedOn w:val="677"/>
    <w:next w:val="67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8"/>
    <w:link w:val="36"/>
    <w:uiPriority w:val="11"/>
    <w:rPr>
      <w:sz w:val="24"/>
      <w:szCs w:val="24"/>
    </w:rPr>
  </w:style>
  <w:style w:type="paragraph" w:styleId="38">
    <w:name w:val="Quote"/>
    <w:basedOn w:val="677"/>
    <w:next w:val="67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7"/>
    <w:next w:val="67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8"/>
    <w:link w:val="692"/>
    <w:uiPriority w:val="99"/>
  </w:style>
  <w:style w:type="character" w:styleId="45">
    <w:name w:val="Footer Char"/>
    <w:basedOn w:val="678"/>
    <w:link w:val="694"/>
    <w:uiPriority w:val="99"/>
  </w:style>
  <w:style w:type="paragraph" w:styleId="46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4"/>
    <w:uiPriority w:val="99"/>
  </w:style>
  <w:style w:type="table" w:styleId="48">
    <w:name w:val="Table Grid"/>
    <w:basedOn w:val="6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8"/>
    <w:uiPriority w:val="99"/>
    <w:unhideWhenUsed/>
    <w:rPr>
      <w:vertAlign w:val="superscript"/>
    </w:rPr>
  </w:style>
  <w:style w:type="paragraph" w:styleId="178">
    <w:name w:val="endnote text"/>
    <w:basedOn w:val="67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8"/>
    <w:uiPriority w:val="99"/>
    <w:semiHidden/>
    <w:unhideWhenUsed/>
    <w:rPr>
      <w:vertAlign w:val="superscript"/>
    </w:rPr>
  </w:style>
  <w:style w:type="paragraph" w:styleId="181">
    <w:name w:val="toc 1"/>
    <w:basedOn w:val="677"/>
    <w:next w:val="67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7"/>
    <w:next w:val="67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7"/>
    <w:next w:val="67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qFormat/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>
    <w:name w:val="Normal (Web)"/>
    <w:basedOn w:val="67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  <w14:ligatures w14:val="none"/>
    </w:rPr>
  </w:style>
  <w:style w:type="character" w:styleId="682">
    <w:name w:val="Hyperlink"/>
    <w:basedOn w:val="678"/>
    <w:uiPriority w:val="99"/>
    <w:unhideWhenUsed/>
    <w:rPr>
      <w:color w:val="0000ff"/>
      <w:u w:val="single"/>
    </w:rPr>
  </w:style>
  <w:style w:type="character" w:styleId="683">
    <w:name w:val="FollowedHyperlink"/>
    <w:basedOn w:val="678"/>
    <w:uiPriority w:val="99"/>
    <w:semiHidden/>
    <w:unhideWhenUsed/>
    <w:rPr>
      <w:color w:val="954f72" w:themeColor="followedHyperlink"/>
      <w:u w:val="single"/>
    </w:rPr>
  </w:style>
  <w:style w:type="character" w:styleId="684">
    <w:name w:val="annotation reference"/>
    <w:basedOn w:val="678"/>
    <w:uiPriority w:val="99"/>
    <w:semiHidden/>
    <w:unhideWhenUsed/>
    <w:rPr>
      <w:sz w:val="16"/>
      <w:szCs w:val="16"/>
    </w:rPr>
  </w:style>
  <w:style w:type="paragraph" w:styleId="685">
    <w:name w:val="annotation text"/>
    <w:basedOn w:val="677"/>
    <w:link w:val="686"/>
    <w:uiPriority w:val="99"/>
    <w:unhideWhenUsed/>
    <w:pPr>
      <w:spacing w:line="240" w:lineRule="auto"/>
    </w:pPr>
    <w:rPr>
      <w:sz w:val="20"/>
      <w:szCs w:val="20"/>
    </w:rPr>
  </w:style>
  <w:style w:type="character" w:styleId="686" w:customStyle="1">
    <w:name w:val="Текст примечания Знак"/>
    <w:basedOn w:val="678"/>
    <w:link w:val="685"/>
    <w:uiPriority w:val="99"/>
    <w:rPr>
      <w:sz w:val="20"/>
      <w:szCs w:val="20"/>
    </w:rPr>
  </w:style>
  <w:style w:type="paragraph" w:styleId="687">
    <w:name w:val="annotation subject"/>
    <w:basedOn w:val="685"/>
    <w:next w:val="685"/>
    <w:link w:val="688"/>
    <w:uiPriority w:val="99"/>
    <w:semiHidden/>
    <w:unhideWhenUsed/>
    <w:rPr>
      <w:b/>
      <w:bCs/>
    </w:rPr>
  </w:style>
  <w:style w:type="character" w:styleId="688" w:customStyle="1">
    <w:name w:val="Тема примечания Знак"/>
    <w:basedOn w:val="686"/>
    <w:link w:val="687"/>
    <w:uiPriority w:val="99"/>
    <w:semiHidden/>
    <w:rPr>
      <w:b/>
      <w:bCs/>
      <w:sz w:val="20"/>
      <w:szCs w:val="20"/>
    </w:rPr>
  </w:style>
  <w:style w:type="paragraph" w:styleId="689">
    <w:name w:val="List Paragraph"/>
    <w:basedOn w:val="677"/>
    <w:uiPriority w:val="34"/>
    <w:qFormat/>
    <w:pPr>
      <w:contextualSpacing/>
      <w:ind w:left="720"/>
    </w:pPr>
  </w:style>
  <w:style w:type="paragraph" w:styleId="690">
    <w:name w:val="Revision"/>
    <w:hidden/>
    <w:uiPriority w:val="99"/>
    <w:semiHidden/>
    <w:pPr>
      <w:spacing w:after="0" w:line="240" w:lineRule="auto"/>
    </w:pPr>
  </w:style>
  <w:style w:type="character" w:styleId="691" w:customStyle="1">
    <w:name w:val="Unresolved Mention"/>
    <w:basedOn w:val="678"/>
    <w:uiPriority w:val="99"/>
    <w:semiHidden/>
    <w:unhideWhenUsed/>
    <w:rPr>
      <w:color w:val="605e5c"/>
      <w:shd w:val="clear" w:color="auto" w:fill="e1dfdd"/>
    </w:rPr>
  </w:style>
  <w:style w:type="paragraph" w:styleId="692">
    <w:name w:val="Header"/>
    <w:basedOn w:val="677"/>
    <w:link w:val="69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3" w:customStyle="1">
    <w:name w:val="Верхний колонтитул Знак"/>
    <w:basedOn w:val="678"/>
    <w:link w:val="692"/>
    <w:uiPriority w:val="99"/>
  </w:style>
  <w:style w:type="paragraph" w:styleId="694">
    <w:name w:val="Footer"/>
    <w:basedOn w:val="677"/>
    <w:link w:val="69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5" w:customStyle="1">
    <w:name w:val="Нижний колонтитул Знак"/>
    <w:basedOn w:val="678"/>
    <w:link w:val="69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xn--80ajghhoc2aj1c8b.xn--p1ai/business/verification_participants/" TargetMode="External"/><Relationship Id="rId12" Type="http://schemas.openxmlformats.org/officeDocument/2006/relationships/hyperlink" Target="https://xn--80ajghhoc2aj1c8b.xn--p1ai/business/verification_participants_full/" TargetMode="External"/><Relationship Id="rId13" Type="http://schemas.openxmlformats.org/officeDocument/2006/relationships/hyperlink" Target="https://markirovka.ru/community/rezhim-proverok-na-kassakh/rezhim-proverok-na-kassakh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F9CB-B747-4873-854A-7701898A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Полина</dc:creator>
  <cp:keywords/>
  <dc:description/>
  <cp:lastModifiedBy>Ионов А.Ю., Отдел развития системы цифровой маркировки товаров</cp:lastModifiedBy>
  <cp:revision>29</cp:revision>
  <dcterms:created xsi:type="dcterms:W3CDTF">2024-05-23T09:42:00Z</dcterms:created>
  <dcterms:modified xsi:type="dcterms:W3CDTF">2024-05-31T17:34:17Z</dcterms:modified>
</cp:coreProperties>
</file>