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:rsidR="00C47E54" w:rsidRPr="00F94792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F94792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F94792">
        <w:rPr>
          <w:rFonts w:ascii="Times New Roman" w:hAnsi="Times New Roman"/>
          <w:sz w:val="24"/>
          <w:szCs w:val="24"/>
          <w:lang w:val="en-US" w:eastAsia="ru-RU"/>
        </w:rPr>
        <w:t xml:space="preserve">: </w:t>
      </w:r>
      <w:hyperlink r:id="rId8" w:history="1">
        <w:r w:rsidR="00FE4B49" w:rsidRPr="00F94792">
          <w:rPr>
            <w:rStyle w:val="ad"/>
            <w:rFonts w:ascii="Times New Roman" w:hAnsi="Times New Roman"/>
            <w:sz w:val="24"/>
            <w:szCs w:val="24"/>
            <w:lang w:val="en-US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F94792">
          <w:rPr>
            <w:rStyle w:val="ad"/>
            <w:rFonts w:ascii="Times New Roman" w:hAnsi="Times New Roman"/>
            <w:sz w:val="24"/>
            <w:szCs w:val="24"/>
            <w:lang w:val="en-US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94792">
        <w:rPr>
          <w:rFonts w:ascii="Times New Roman" w:hAnsi="Times New Roman"/>
          <w:sz w:val="24"/>
          <w:szCs w:val="24"/>
          <w:lang w:val="en-US"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94792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r w:rsidRPr="00F94792"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000"/>
      </w:tblPr>
      <w:tblGrid>
        <w:gridCol w:w="9433"/>
      </w:tblGrid>
      <w:tr w:rsidR="00C47E54" w:rsidRPr="00E97A33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:rsidR="00C47E54" w:rsidRPr="00F94792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____                                             </w:t>
      </w: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794698" w:rsidRPr="00B45775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EF1C80" w:rsidRPr="00EF1C80" w:rsidRDefault="00EF1C80" w:rsidP="00832E2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проведения </w:t>
      </w:r>
      <w:proofErr w:type="gramStart"/>
      <w:r w:rsidRPr="00EF1C80">
        <w:rPr>
          <w:rFonts w:ascii="Times New Roman" w:hAnsi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 администрации</w:t>
      </w:r>
      <w:proofErr w:type="gramEnd"/>
      <w:r w:rsidR="00002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C80">
        <w:rPr>
          <w:rFonts w:ascii="Times New Roman" w:hAnsi="Times New Roman"/>
          <w:sz w:val="28"/>
          <w:szCs w:val="28"/>
          <w:lang w:eastAsia="ru-RU"/>
        </w:rPr>
        <w:t xml:space="preserve">Суражского района, затрагивающих вопросы осуществления предпринимательской и инвестиционной деятельности в </w:t>
      </w:r>
      <w:proofErr w:type="spellStart"/>
      <w:r w:rsidRPr="00EF1C80">
        <w:rPr>
          <w:rFonts w:ascii="Times New Roman" w:hAnsi="Times New Roman"/>
          <w:sz w:val="28"/>
          <w:szCs w:val="28"/>
          <w:lang w:eastAsia="ru-RU"/>
        </w:rPr>
        <w:t>Суражском</w:t>
      </w:r>
      <w:proofErr w:type="spellEnd"/>
      <w:r w:rsidRPr="00EF1C80">
        <w:rPr>
          <w:rFonts w:ascii="Times New Roman" w:hAnsi="Times New Roman"/>
          <w:sz w:val="28"/>
          <w:szCs w:val="28"/>
          <w:lang w:eastAsia="ru-RU"/>
        </w:rPr>
        <w:t xml:space="preserve"> районе (далее – Порядок проведения оценки регулирующего воздействия), утвержденным постановлением администрации Суражского района от 26.10.2015г. №961 (с изменениями от 05.05.2020г. №341)</w:t>
      </w:r>
    </w:p>
    <w:p w:rsidR="00984651" w:rsidRPr="00D6528F" w:rsidRDefault="00FE258B" w:rsidP="00D6528F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 xml:space="preserve">проект </w:t>
      </w:r>
      <w:r w:rsidR="0000248C">
        <w:rPr>
          <w:rFonts w:ascii="Times New Roman" w:hAnsi="Times New Roman"/>
          <w:i/>
          <w:sz w:val="28"/>
          <w:szCs w:val="28"/>
          <w:u w:val="single"/>
          <w:lang w:eastAsia="ru-RU"/>
        </w:rPr>
        <w:t>Постановление «Об определении границ прилегающих территорий, на которых не допускается розничная продажа алкогольной продукции и розничная алкогольной продукции при оказании услуг общественного питания на территории Суражского района»</w:t>
      </w:r>
      <w:r w:rsidR="00984651" w:rsidRPr="00EF1C80">
        <w:rPr>
          <w:rFonts w:ascii="Times New Roman" w:hAnsi="Times New Roman"/>
          <w:sz w:val="28"/>
          <w:szCs w:val="28"/>
          <w:lang w:eastAsia="ru-RU"/>
        </w:rPr>
        <w:t>_____</w:t>
      </w:r>
      <w:r w:rsidR="00D6528F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00248C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794698" w:rsidRPr="00EF1C80" w:rsidRDefault="00794698" w:rsidP="00984651">
      <w:pPr>
        <w:spacing w:after="0"/>
        <w:ind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F1C80">
        <w:rPr>
          <w:rFonts w:ascii="Times New Roman" w:hAnsi="Times New Roman"/>
          <w:sz w:val="20"/>
          <w:szCs w:val="20"/>
          <w:lang w:eastAsia="ru-RU"/>
        </w:rPr>
        <w:t>(наименование проекта нормативного правового акта)</w:t>
      </w:r>
    </w:p>
    <w:p w:rsidR="00D6528F" w:rsidRDefault="00D6528F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7E54" w:rsidRPr="00EF1C80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:rsidR="00794698" w:rsidRPr="00EF1C80" w:rsidRDefault="00411C6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Отделом экономического </w:t>
      </w:r>
      <w:proofErr w:type="spellStart"/>
      <w:r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развтия</w:t>
      </w:r>
      <w:proofErr w:type="spellEnd"/>
      <w:r w:rsidR="00F24586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администрации Суражского района</w:t>
      </w:r>
      <w:r w:rsidR="00794698" w:rsidRPr="00EF1C80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  <w:r w:rsidR="0000248C"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794698" w:rsidRPr="00EF1C80" w:rsidRDefault="00794698" w:rsidP="007561F9">
      <w:pPr>
        <w:spacing w:after="0" w:line="240" w:lineRule="auto"/>
        <w:ind w:left="1418" w:righ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F1C80">
        <w:rPr>
          <w:rFonts w:ascii="Times New Roman" w:hAnsi="Times New Roman"/>
          <w:sz w:val="20"/>
          <w:szCs w:val="20"/>
          <w:lang w:eastAsia="ru-RU"/>
        </w:rPr>
        <w:t xml:space="preserve">(наименование структурного подразделения </w:t>
      </w:r>
      <w:proofErr w:type="spellStart"/>
      <w:r w:rsidR="008F74C7" w:rsidRPr="00EF1C80">
        <w:rPr>
          <w:rFonts w:ascii="Times New Roman" w:hAnsi="Times New Roman"/>
          <w:sz w:val="20"/>
          <w:szCs w:val="20"/>
          <w:lang w:eastAsia="ru-RU"/>
        </w:rPr>
        <w:t>Суражской</w:t>
      </w:r>
      <w:proofErr w:type="spellEnd"/>
      <w:r w:rsidR="0000248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F74C7" w:rsidRPr="00EF1C80">
        <w:rPr>
          <w:rFonts w:ascii="Times New Roman" w:hAnsi="Times New Roman"/>
          <w:sz w:val="20"/>
          <w:szCs w:val="20"/>
          <w:lang w:eastAsia="ru-RU"/>
        </w:rPr>
        <w:t>районной</w:t>
      </w:r>
      <w:r w:rsidRPr="00EF1C80">
        <w:rPr>
          <w:rFonts w:ascii="Times New Roman" w:hAnsi="Times New Roman"/>
          <w:sz w:val="20"/>
          <w:szCs w:val="20"/>
          <w:lang w:eastAsia="ru-RU"/>
        </w:rPr>
        <w:t xml:space="preserve"> администрации – </w:t>
      </w:r>
      <w:r w:rsidR="00C47E54" w:rsidRPr="00EF1C80">
        <w:rPr>
          <w:rFonts w:ascii="Times New Roman" w:hAnsi="Times New Roman"/>
          <w:sz w:val="20"/>
          <w:szCs w:val="20"/>
          <w:lang w:eastAsia="ru-RU"/>
        </w:rPr>
        <w:t>р</w:t>
      </w:r>
      <w:r w:rsidRPr="00EF1C80">
        <w:rPr>
          <w:rFonts w:ascii="Times New Roman" w:hAnsi="Times New Roman"/>
          <w:sz w:val="20"/>
          <w:szCs w:val="20"/>
          <w:lang w:eastAsia="ru-RU"/>
        </w:rPr>
        <w:t>азработчика акта)</w:t>
      </w:r>
    </w:p>
    <w:p w:rsidR="00794698" w:rsidRPr="00EF1C80" w:rsidRDefault="00794698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:rsidR="0063695C" w:rsidRPr="00EF1C80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698" w:rsidRPr="00EF1C80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 w:rsidRPr="00EF1C80">
        <w:rPr>
          <w:rFonts w:ascii="Times New Roman" w:hAnsi="Times New Roman"/>
          <w:sz w:val="28"/>
          <w:szCs w:val="28"/>
          <w:lang w:eastAsia="ru-RU"/>
        </w:rPr>
        <w:t>3</w:t>
      </w:r>
      <w:r w:rsidRPr="00EF1C80">
        <w:rPr>
          <w:rFonts w:ascii="Times New Roman" w:hAnsi="Times New Roman"/>
          <w:sz w:val="28"/>
          <w:szCs w:val="28"/>
          <w:lang w:eastAsia="ru-RU"/>
        </w:rPr>
        <w:t>–</w:t>
      </w:r>
      <w:r w:rsidR="008115BC" w:rsidRPr="00EF1C80">
        <w:rPr>
          <w:rFonts w:ascii="Times New Roman" w:hAnsi="Times New Roman"/>
          <w:sz w:val="28"/>
          <w:szCs w:val="28"/>
          <w:lang w:eastAsia="ru-RU"/>
        </w:rPr>
        <w:t>5</w:t>
      </w:r>
      <w:r w:rsidR="002E01B8" w:rsidRPr="00EF1C80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EF1C80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Проект нормативного правового акта направлен разработчиком в уполномоченный орган </w:t>
      </w:r>
      <w:proofErr w:type="spellStart"/>
      <w:r w:rsidRPr="00B45775">
        <w:rPr>
          <w:rFonts w:ascii="Times New Roman" w:hAnsi="Times New Roman"/>
          <w:sz w:val="28"/>
          <w:szCs w:val="28"/>
          <w:lang w:eastAsia="ru-RU"/>
        </w:rPr>
        <w:t>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proofErr w:type="spellEnd"/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:rsidR="00794698" w:rsidRPr="00B45775" w:rsidRDefault="00794698" w:rsidP="00691E77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-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B45775">
        <w:rPr>
          <w:vertAlign w:val="superscript"/>
        </w:rPr>
        <w:footnoteReference w:id="2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:rsidR="00794698" w:rsidRPr="00B45775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(информация о предшествующей подготовке заключений об оценке регулирующего воздействия проекта нормативного правового акта)</w:t>
      </w:r>
    </w:p>
    <w:p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C6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</w:t>
      </w:r>
      <w:proofErr w:type="gramStart"/>
      <w:r w:rsidRPr="006F1C7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794698" w:rsidRPr="00F94792" w:rsidRDefault="00E97A33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19.12</w:t>
      </w:r>
      <w:r w:rsidR="00EF1C80" w:rsidRPr="00F94792">
        <w:rPr>
          <w:rFonts w:ascii="Times New Roman" w:hAnsi="Times New Roman"/>
          <w:sz w:val="28"/>
          <w:szCs w:val="28"/>
          <w:u w:val="single"/>
          <w:lang w:eastAsia="ru-RU"/>
        </w:rPr>
        <w:t>.2021</w:t>
      </w:r>
    </w:p>
    <w:p w:rsidR="00794698" w:rsidRPr="00F94792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94792">
        <w:rPr>
          <w:rFonts w:ascii="Times New Roman" w:hAnsi="Times New Roman"/>
          <w:sz w:val="20"/>
          <w:szCs w:val="20"/>
          <w:lang w:eastAsia="ru-RU"/>
        </w:rPr>
        <w:t>(срок начала публичного обсуждения</w:t>
      </w:r>
      <w:proofErr w:type="gramEnd"/>
    </w:p>
    <w:p w:rsidR="00794698" w:rsidRPr="00F94792" w:rsidRDefault="00794698" w:rsidP="00794698">
      <w:pPr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F94792">
        <w:rPr>
          <w:rFonts w:ascii="Times New Roman" w:hAnsi="Times New Roman"/>
          <w:sz w:val="20"/>
          <w:szCs w:val="20"/>
          <w:lang w:eastAsia="ru-RU"/>
        </w:rPr>
        <w:t>проекта нормативного правового  акта и</w:t>
      </w:r>
    </w:p>
    <w:p w:rsidR="00794698" w:rsidRPr="00F94792" w:rsidRDefault="0079469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F94792">
        <w:rPr>
          <w:rFonts w:ascii="Times New Roman" w:hAnsi="Times New Roman"/>
          <w:sz w:val="20"/>
          <w:szCs w:val="20"/>
          <w:lang w:eastAsia="ru-RU"/>
        </w:rPr>
        <w:t>сводного отчета)</w:t>
      </w:r>
      <w:r w:rsidR="00DF69A8" w:rsidRPr="00F94792">
        <w:rPr>
          <w:rFonts w:ascii="Times New Roman" w:hAnsi="Times New Roman"/>
          <w:sz w:val="20"/>
          <w:szCs w:val="20"/>
          <w:lang w:eastAsia="ru-RU"/>
        </w:rPr>
        <w:tab/>
      </w:r>
    </w:p>
    <w:p w:rsidR="00794698" w:rsidRPr="00F94792" w:rsidRDefault="00EF1C80" w:rsidP="00794698">
      <w:pPr>
        <w:spacing w:after="0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94792">
        <w:rPr>
          <w:rFonts w:ascii="Times New Roman" w:hAnsi="Times New Roman"/>
          <w:sz w:val="28"/>
          <w:szCs w:val="28"/>
          <w:lang w:eastAsia="ru-RU"/>
        </w:rPr>
        <w:t xml:space="preserve">по            </w:t>
      </w:r>
      <w:r w:rsidR="00E97A33">
        <w:rPr>
          <w:rFonts w:ascii="Times New Roman" w:hAnsi="Times New Roman"/>
          <w:sz w:val="28"/>
          <w:szCs w:val="28"/>
          <w:u w:val="single"/>
          <w:lang w:eastAsia="ru-RU"/>
        </w:rPr>
        <w:t>29.12.</w:t>
      </w:r>
      <w:r w:rsidRPr="00F94792">
        <w:rPr>
          <w:rFonts w:ascii="Times New Roman" w:hAnsi="Times New Roman"/>
          <w:sz w:val="28"/>
          <w:szCs w:val="28"/>
          <w:u w:val="single"/>
          <w:lang w:eastAsia="ru-RU"/>
        </w:rPr>
        <w:t>2021</w:t>
      </w:r>
    </w:p>
    <w:p w:rsidR="00794698" w:rsidRPr="00B45775" w:rsidRDefault="00794698" w:rsidP="00794698">
      <w:pPr>
        <w:spacing w:after="0"/>
        <w:ind w:left="6096"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(срок окончания публичного обсуждения)</w:t>
      </w:r>
    </w:p>
    <w:p w:rsidR="00794698" w:rsidRPr="00EF1C80" w:rsidRDefault="00794698" w:rsidP="00794698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 w:rsidRPr="00EF1C80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</w:t>
      </w:r>
    </w:p>
    <w:p w:rsidR="00794698" w:rsidRPr="00EF1C80" w:rsidRDefault="00794698" w:rsidP="00691E77">
      <w:pPr>
        <w:spacing w:after="0"/>
        <w:ind w:right="84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sz w:val="18"/>
          <w:szCs w:val="18"/>
          <w:lang w:eastAsia="ru-RU"/>
        </w:rPr>
        <w:t>(полный электронный адрес размещения проекта акта в информационно-телекоммуникационной сети Интернет)</w:t>
      </w:r>
    </w:p>
    <w:p w:rsidR="00794698" w:rsidRPr="00EF1C80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EF1C80">
        <w:rPr>
          <w:vertAlign w:val="superscript"/>
        </w:rPr>
        <w:footnoteReference w:id="3"/>
      </w:r>
      <w:r w:rsidRPr="00EF1C80">
        <w:rPr>
          <w:rFonts w:ascii="Times New Roman" w:hAnsi="Times New Roman"/>
          <w:sz w:val="28"/>
          <w:szCs w:val="28"/>
          <w:lang w:eastAsia="ru-RU"/>
        </w:rPr>
        <w:t>.</w:t>
      </w:r>
    </w:p>
    <w:p w:rsidR="00794698" w:rsidRPr="00EF1C80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 xml:space="preserve">Имеется достаточное обоснование решения проблемы предложенным способом регулирования, альтернативные способы регулирования </w:t>
      </w:r>
      <w:proofErr w:type="spellStart"/>
      <w:r w:rsidRPr="00EF1C80">
        <w:rPr>
          <w:rFonts w:ascii="Times New Roman" w:hAnsi="Times New Roman"/>
          <w:i/>
          <w:sz w:val="28"/>
          <w:szCs w:val="28"/>
          <w:lang w:eastAsia="ru-RU"/>
        </w:rPr>
        <w:t>не</w:t>
      </w:r>
      <w:bookmarkStart w:id="0" w:name="_GoBack"/>
      <w:bookmarkEnd w:id="0"/>
      <w:r w:rsidR="0063695C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</w:t>
      </w:r>
      <w:proofErr w:type="spellEnd"/>
      <w:r w:rsidR="0063695C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3695C" w:rsidRPr="00EF1C80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EF1C80">
        <w:rPr>
          <w:rFonts w:ascii="Times New Roman" w:hAnsi="Times New Roman"/>
          <w:sz w:val="28"/>
          <w:szCs w:val="28"/>
          <w:lang w:eastAsia="ru-RU"/>
        </w:rPr>
        <w:t>____</w:t>
      </w:r>
      <w:r w:rsidR="00691E77" w:rsidRPr="00EF1C80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EF1C80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794698" w:rsidRPr="00EF1C80" w:rsidRDefault="00794698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sz w:val="18"/>
          <w:szCs w:val="18"/>
          <w:lang w:eastAsia="ru-RU"/>
        </w:rPr>
        <w:t>(вывод о наличии либо отсутствии достаточного обоснования решения проблемы предложенным способом регулирования)</w:t>
      </w:r>
    </w:p>
    <w:p w:rsidR="00691E77" w:rsidRPr="00EF1C80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794698" w:rsidRPr="00EF1C80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деятельности, а также бюджета Суражского района, отсутствуют</w:t>
      </w:r>
      <w:r w:rsidR="00691E77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 w:rsidRPr="00EF1C80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:rsidR="00794698" w:rsidRPr="00EF1C80" w:rsidRDefault="00794698" w:rsidP="00794698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F1C80">
        <w:rPr>
          <w:rFonts w:ascii="Times New Roman" w:hAnsi="Times New Roman"/>
          <w:sz w:val="20"/>
          <w:szCs w:val="20"/>
          <w:lang w:eastAsia="ru-RU"/>
        </w:rPr>
        <w:t xml:space="preserve"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="008F74C7" w:rsidRPr="00EF1C80">
        <w:rPr>
          <w:rFonts w:ascii="Times New Roman" w:hAnsi="Times New Roman"/>
          <w:sz w:val="20"/>
          <w:szCs w:val="20"/>
          <w:lang w:eastAsia="ru-RU"/>
        </w:rPr>
        <w:t xml:space="preserve">местный </w:t>
      </w:r>
      <w:r w:rsidRPr="00EF1C80">
        <w:rPr>
          <w:rFonts w:ascii="Times New Roman" w:hAnsi="Times New Roman"/>
          <w:sz w:val="20"/>
          <w:szCs w:val="20"/>
          <w:lang w:eastAsia="ru-RU"/>
        </w:rPr>
        <w:t>бюджета)</w:t>
      </w:r>
    </w:p>
    <w:p w:rsidR="0063695C" w:rsidRPr="00EF1C80" w:rsidRDefault="0063695C" w:rsidP="0063695C">
      <w:pPr>
        <w:spacing w:after="0"/>
        <w:ind w:left="360"/>
        <w:jc w:val="both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i/>
          <w:sz w:val="28"/>
          <w:szCs w:val="28"/>
          <w:lang w:eastAsia="ru-RU"/>
        </w:rPr>
        <w:t>3.</w:t>
      </w:r>
      <w:r w:rsidR="00411C68" w:rsidRPr="00EF1C80">
        <w:rPr>
          <w:rFonts w:ascii="Times New Roman" w:hAnsi="Times New Roman"/>
          <w:i/>
          <w:sz w:val="28"/>
          <w:szCs w:val="28"/>
          <w:u w:val="single"/>
          <w:lang w:eastAsia="ru-RU"/>
        </w:rPr>
        <w:t>иные замечания и предложения отсутствуют</w:t>
      </w:r>
      <w:r w:rsidRPr="00EF1C80">
        <w:rPr>
          <w:rFonts w:ascii="Times New Roman" w:hAnsi="Times New Roman"/>
          <w:i/>
          <w:sz w:val="28"/>
          <w:szCs w:val="28"/>
          <w:lang w:eastAsia="ru-RU"/>
        </w:rPr>
        <w:t>_____________________</w:t>
      </w:r>
    </w:p>
    <w:p w:rsidR="00794698" w:rsidRPr="00EF1C80" w:rsidRDefault="00794698" w:rsidP="0063695C">
      <w:pPr>
        <w:spacing w:after="0"/>
        <w:ind w:left="36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F1C80">
        <w:rPr>
          <w:rFonts w:ascii="Times New Roman" w:hAnsi="Times New Roman"/>
          <w:sz w:val="18"/>
          <w:szCs w:val="18"/>
          <w:lang w:eastAsia="ru-RU"/>
        </w:rPr>
        <w:t>(обоснование выводов, а также иные замечания и предложения разработчика)</w:t>
      </w:r>
    </w:p>
    <w:p w:rsidR="00794698" w:rsidRPr="00B45775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7E48" w:rsidRDefault="00984651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7A7E48">
        <w:rPr>
          <w:rFonts w:ascii="Times New Roman" w:hAnsi="Times New Roman"/>
          <w:sz w:val="24"/>
          <w:szCs w:val="24"/>
          <w:lang w:eastAsia="ru-RU"/>
        </w:rPr>
        <w:t>аместитель г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лав</w:t>
      </w:r>
      <w:r w:rsidR="007A7E48">
        <w:rPr>
          <w:rFonts w:ascii="Times New Roman" w:hAnsi="Times New Roman"/>
          <w:sz w:val="24"/>
          <w:szCs w:val="24"/>
          <w:lang w:eastAsia="ru-RU"/>
        </w:rPr>
        <w:t>ы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</w:p>
    <w:p w:rsidR="00794698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 xml:space="preserve">Суражского района </w:t>
      </w:r>
      <w:r w:rsidR="007A7E48">
        <w:rPr>
          <w:rFonts w:ascii="Times New Roman" w:hAnsi="Times New Roman"/>
          <w:sz w:val="24"/>
          <w:szCs w:val="24"/>
          <w:lang w:eastAsia="ru-RU"/>
        </w:rPr>
        <w:t xml:space="preserve">   _________________</w:t>
      </w:r>
      <w:r w:rsidRPr="00F27A6D">
        <w:rPr>
          <w:rFonts w:ascii="Times New Roman" w:hAnsi="Times New Roman"/>
          <w:sz w:val="24"/>
          <w:szCs w:val="24"/>
          <w:lang w:eastAsia="ru-RU"/>
        </w:rPr>
        <w:t xml:space="preserve">_________________ </w:t>
      </w:r>
      <w:r w:rsidR="00984651">
        <w:rPr>
          <w:rFonts w:ascii="Times New Roman" w:hAnsi="Times New Roman"/>
          <w:sz w:val="24"/>
          <w:szCs w:val="24"/>
          <w:lang w:eastAsia="ru-RU"/>
        </w:rPr>
        <w:t>С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В</w:t>
      </w:r>
      <w:r w:rsidRPr="00F27A6D">
        <w:rPr>
          <w:rFonts w:ascii="Times New Roman" w:hAnsi="Times New Roman"/>
          <w:sz w:val="24"/>
          <w:szCs w:val="24"/>
          <w:lang w:eastAsia="ru-RU"/>
        </w:rPr>
        <w:t>.</w:t>
      </w:r>
      <w:r w:rsidR="00984651">
        <w:rPr>
          <w:rFonts w:ascii="Times New Roman" w:hAnsi="Times New Roman"/>
          <w:sz w:val="24"/>
          <w:szCs w:val="24"/>
          <w:lang w:eastAsia="ru-RU"/>
        </w:rPr>
        <w:t>Толока</w:t>
      </w: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E77" w:rsidRPr="00F27A6D" w:rsidRDefault="00691E77" w:rsidP="0079469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A6D">
        <w:rPr>
          <w:rFonts w:ascii="Times New Roman" w:hAnsi="Times New Roman"/>
          <w:sz w:val="24"/>
          <w:szCs w:val="24"/>
          <w:lang w:eastAsia="ru-RU"/>
        </w:rPr>
        <w:t>Начальник отдела экономическ</w:t>
      </w:r>
      <w:r w:rsidR="00386757">
        <w:rPr>
          <w:rFonts w:ascii="Times New Roman" w:hAnsi="Times New Roman"/>
          <w:sz w:val="24"/>
          <w:szCs w:val="24"/>
          <w:lang w:eastAsia="ru-RU"/>
        </w:rPr>
        <w:t>ого</w:t>
      </w:r>
    </w:p>
    <w:p w:rsidR="007561F9" w:rsidRPr="00C16693" w:rsidRDefault="00484DC8" w:rsidP="00C1669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="00691E77" w:rsidRPr="00F27A6D">
        <w:rPr>
          <w:rFonts w:ascii="Times New Roman" w:hAnsi="Times New Roman"/>
          <w:sz w:val="24"/>
          <w:szCs w:val="24"/>
          <w:lang w:eastAsia="ru-RU"/>
        </w:rPr>
        <w:t>азвити</w:t>
      </w:r>
      <w:r w:rsidR="00386757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757">
        <w:rPr>
          <w:rFonts w:ascii="Times New Roman" w:hAnsi="Times New Roman"/>
          <w:sz w:val="24"/>
          <w:szCs w:val="24"/>
          <w:lang w:eastAsia="ru-RU"/>
        </w:rPr>
        <w:t>администрации Суражского района ____________________________</w:t>
      </w:r>
      <w:r w:rsidR="00984651">
        <w:rPr>
          <w:rFonts w:ascii="Times New Roman" w:hAnsi="Times New Roman"/>
          <w:sz w:val="24"/>
          <w:szCs w:val="24"/>
          <w:lang w:eastAsia="ru-RU"/>
        </w:rPr>
        <w:t>Е.В. Гончаров</w:t>
      </w:r>
      <w:r w:rsidR="00F4691A">
        <w:rPr>
          <w:rFonts w:ascii="Times New Roman" w:hAnsi="Times New Roman"/>
          <w:sz w:val="24"/>
          <w:szCs w:val="24"/>
          <w:lang w:eastAsia="ru-RU"/>
        </w:rPr>
        <w:t>а</w:t>
      </w:r>
    </w:p>
    <w:p w:rsidR="007E4A0F" w:rsidRDefault="007E4A0F"/>
    <w:sectPr w:rsidR="007E4A0F" w:rsidSect="00251595">
      <w:pgSz w:w="11906" w:h="16838"/>
      <w:pgMar w:top="808" w:right="850" w:bottom="851" w:left="1276" w:header="56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37" w:rsidRDefault="00FC0D37" w:rsidP="00794698">
      <w:pPr>
        <w:spacing w:after="0" w:line="240" w:lineRule="auto"/>
      </w:pPr>
      <w:r>
        <w:separator/>
      </w:r>
    </w:p>
  </w:endnote>
  <w:endnote w:type="continuationSeparator" w:id="1">
    <w:p w:rsidR="00FC0D37" w:rsidRDefault="00FC0D37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37" w:rsidRDefault="00FC0D37" w:rsidP="00794698">
      <w:pPr>
        <w:spacing w:after="0" w:line="240" w:lineRule="auto"/>
      </w:pPr>
      <w:r>
        <w:separator/>
      </w:r>
    </w:p>
  </w:footnote>
  <w:footnote w:type="continuationSeparator" w:id="1">
    <w:p w:rsidR="00FC0D37" w:rsidRDefault="00FC0D37" w:rsidP="00794698">
      <w:pPr>
        <w:spacing w:after="0" w:line="240" w:lineRule="auto"/>
      </w:pPr>
      <w:r>
        <w:continuationSeparator/>
      </w:r>
    </w:p>
  </w:footnote>
  <w:footnote w:id="2">
    <w:p w:rsidR="00251595" w:rsidRDefault="00251595" w:rsidP="00794698">
      <w:pPr>
        <w:pStyle w:val="a7"/>
        <w:jc w:val="both"/>
      </w:pPr>
    </w:p>
  </w:footnote>
  <w:footnote w:id="3">
    <w:p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D94"/>
    <w:rsid w:val="0000248C"/>
    <w:rsid w:val="00030581"/>
    <w:rsid w:val="000B02BF"/>
    <w:rsid w:val="000F3E5D"/>
    <w:rsid w:val="00103964"/>
    <w:rsid w:val="00206B78"/>
    <w:rsid w:val="002171B3"/>
    <w:rsid w:val="00227448"/>
    <w:rsid w:val="002328A2"/>
    <w:rsid w:val="00251595"/>
    <w:rsid w:val="002812DA"/>
    <w:rsid w:val="002B08ED"/>
    <w:rsid w:val="002B1BE3"/>
    <w:rsid w:val="002B5D0C"/>
    <w:rsid w:val="002E01B8"/>
    <w:rsid w:val="00307D8A"/>
    <w:rsid w:val="003644A7"/>
    <w:rsid w:val="00386757"/>
    <w:rsid w:val="003C7A07"/>
    <w:rsid w:val="003E5383"/>
    <w:rsid w:val="00411C68"/>
    <w:rsid w:val="00414BF5"/>
    <w:rsid w:val="00484DC8"/>
    <w:rsid w:val="004D7287"/>
    <w:rsid w:val="004E2308"/>
    <w:rsid w:val="00514527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A6CE0"/>
    <w:rsid w:val="00AC26F1"/>
    <w:rsid w:val="00B968FD"/>
    <w:rsid w:val="00BC760E"/>
    <w:rsid w:val="00C16693"/>
    <w:rsid w:val="00C47E54"/>
    <w:rsid w:val="00C62199"/>
    <w:rsid w:val="00C716A0"/>
    <w:rsid w:val="00CA6772"/>
    <w:rsid w:val="00D20AD9"/>
    <w:rsid w:val="00D6528F"/>
    <w:rsid w:val="00D75DE5"/>
    <w:rsid w:val="00DB301D"/>
    <w:rsid w:val="00DC077E"/>
    <w:rsid w:val="00DD6F26"/>
    <w:rsid w:val="00DE03D9"/>
    <w:rsid w:val="00DF69A8"/>
    <w:rsid w:val="00E35ADE"/>
    <w:rsid w:val="00E81545"/>
    <w:rsid w:val="00E81C42"/>
    <w:rsid w:val="00E97A33"/>
    <w:rsid w:val="00EE7FD2"/>
    <w:rsid w:val="00EF1C80"/>
    <w:rsid w:val="00F035FC"/>
    <w:rsid w:val="00F24586"/>
    <w:rsid w:val="00F27A6D"/>
    <w:rsid w:val="00F4691A"/>
    <w:rsid w:val="00F94792"/>
    <w:rsid w:val="00FA44C3"/>
    <w:rsid w:val="00FA44C9"/>
    <w:rsid w:val="00FC0D37"/>
    <w:rsid w:val="00FE258B"/>
    <w:rsid w:val="00FE4B49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48330214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5642-3A07-4109-A5F6-CB1F56BB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17</cp:revision>
  <cp:lastPrinted>2021-11-10T06:28:00Z</cp:lastPrinted>
  <dcterms:created xsi:type="dcterms:W3CDTF">2021-10-27T07:04:00Z</dcterms:created>
  <dcterms:modified xsi:type="dcterms:W3CDTF">2022-01-17T07:31:00Z</dcterms:modified>
</cp:coreProperties>
</file>