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9B" w:rsidRDefault="00C8349B"/>
    <w:p w:rsidR="00F437DF" w:rsidRDefault="00F437DF"/>
    <w:p w:rsidR="00F437DF" w:rsidRDefault="00F437DF"/>
    <w:p w:rsidR="00F437DF" w:rsidRDefault="00F437DF"/>
    <w:p w:rsidR="00F437DF" w:rsidRDefault="00F437DF"/>
    <w:p w:rsidR="00BF3321" w:rsidRDefault="00BF3321" w:rsidP="00BF3321">
      <w:pPr>
        <w:ind w:left="142"/>
        <w:jc w:val="center"/>
        <w:rPr>
          <w:sz w:val="28"/>
          <w:szCs w:val="28"/>
        </w:rPr>
      </w:pPr>
    </w:p>
    <w:p w:rsidR="00BF3321" w:rsidRDefault="00BF3321" w:rsidP="00BF3321">
      <w:pPr>
        <w:ind w:left="142"/>
        <w:jc w:val="center"/>
        <w:rPr>
          <w:sz w:val="28"/>
          <w:szCs w:val="28"/>
        </w:rPr>
      </w:pPr>
    </w:p>
    <w:p w:rsidR="00BF3321" w:rsidRDefault="00BF3321" w:rsidP="00BF3321">
      <w:pPr>
        <w:pStyle w:val="a4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BF3321" w:rsidRDefault="00BF3321" w:rsidP="00BF3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BF3321" w:rsidRDefault="00BF3321" w:rsidP="00BF332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BF3321" w:rsidTr="00BF3321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F3321" w:rsidRDefault="00BF332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</w:tc>
      </w:tr>
    </w:tbl>
    <w:p w:rsidR="00BF3321" w:rsidRDefault="00BF3321" w:rsidP="00BF3321">
      <w:pPr>
        <w:jc w:val="center"/>
        <w:rPr>
          <w:sz w:val="28"/>
          <w:szCs w:val="28"/>
        </w:rPr>
      </w:pPr>
      <w:r>
        <w:rPr>
          <w:sz w:val="28"/>
          <w:szCs w:val="28"/>
        </w:rPr>
        <w:t>11-го заседания Дубровского сельского  Совета народных депутатов  4 созыва</w:t>
      </w:r>
    </w:p>
    <w:p w:rsidR="00BF3321" w:rsidRDefault="00BF3321" w:rsidP="00BF3321">
      <w:pPr>
        <w:rPr>
          <w:rFonts w:eastAsiaTheme="minorEastAsia" w:cs="Calibri"/>
        </w:rPr>
      </w:pPr>
    </w:p>
    <w:p w:rsidR="00BF3321" w:rsidRDefault="00BF3321" w:rsidP="00BF3321">
      <w:pPr>
        <w:rPr>
          <w:sz w:val="26"/>
          <w:szCs w:val="26"/>
        </w:rPr>
      </w:pPr>
      <w:r>
        <w:rPr>
          <w:sz w:val="26"/>
          <w:szCs w:val="26"/>
        </w:rPr>
        <w:t xml:space="preserve">28  декабря  2020 года                                             № 80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BF3321" w:rsidTr="00BF3321">
        <w:tc>
          <w:tcPr>
            <w:tcW w:w="8613" w:type="dxa"/>
            <w:hideMark/>
          </w:tcPr>
          <w:p w:rsidR="00BF3321" w:rsidRDefault="00BF3321">
            <w:pPr>
              <w:pStyle w:val="ConsPlusNormal"/>
              <w:tabs>
                <w:tab w:val="left" w:pos="5670"/>
              </w:tabs>
              <w:ind w:right="33"/>
              <w:jc w:val="both"/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  <w:t xml:space="preserve">Об утверждении Положения о порядке формирования, ведения, обязательного опубликования перечня муниципального имущества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 xml:space="preserve">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 xml:space="preserve"> муниципального района Брянской области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BF3321" w:rsidRDefault="00BF3321" w:rsidP="00BF3321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</w:p>
    <w:p w:rsidR="00BF3321" w:rsidRDefault="00BF3321" w:rsidP="00BF33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321" w:rsidRDefault="00BF3321" w:rsidP="00BF33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Дубровский сельский Совет народных депутатов </w:t>
      </w:r>
    </w:p>
    <w:p w:rsidR="00BF3321" w:rsidRDefault="00BF3321" w:rsidP="00BF33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F3321" w:rsidRDefault="00BF3321" w:rsidP="00BF332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color w:val="2D2D2D"/>
          <w:spacing w:val="2"/>
          <w:sz w:val="26"/>
          <w:szCs w:val="26"/>
        </w:rPr>
        <w:t>Утвердить Положение о п</w:t>
      </w:r>
      <w:r>
        <w:rPr>
          <w:color w:val="3C3C3C"/>
          <w:spacing w:val="2"/>
          <w:sz w:val="26"/>
          <w:szCs w:val="26"/>
        </w:rPr>
        <w:t xml:space="preserve">орядке формирования, ведения, обязательного опубликования перечня муниципального имущества </w:t>
      </w:r>
      <w:r>
        <w:rPr>
          <w:color w:val="2D2D2D"/>
          <w:spacing w:val="2"/>
          <w:sz w:val="26"/>
          <w:szCs w:val="26"/>
        </w:rPr>
        <w:t>муниципального образования «</w:t>
      </w:r>
      <w:proofErr w:type="spellStart"/>
      <w:r>
        <w:rPr>
          <w:color w:val="2D2D2D"/>
          <w:spacing w:val="2"/>
          <w:sz w:val="26"/>
          <w:szCs w:val="26"/>
        </w:rPr>
        <w:t>Дубровское</w:t>
      </w:r>
      <w:proofErr w:type="spellEnd"/>
      <w:r>
        <w:rPr>
          <w:color w:val="2D2D2D"/>
          <w:spacing w:val="2"/>
          <w:sz w:val="26"/>
          <w:szCs w:val="26"/>
        </w:rPr>
        <w:t xml:space="preserve"> сельское поселение» </w:t>
      </w:r>
      <w:proofErr w:type="spellStart"/>
      <w:r>
        <w:rPr>
          <w:color w:val="2D2D2D"/>
          <w:spacing w:val="2"/>
          <w:sz w:val="26"/>
          <w:szCs w:val="26"/>
        </w:rPr>
        <w:t>Суражского</w:t>
      </w:r>
      <w:proofErr w:type="spellEnd"/>
      <w:r>
        <w:rPr>
          <w:color w:val="2D2D2D"/>
          <w:spacing w:val="2"/>
          <w:sz w:val="26"/>
          <w:szCs w:val="26"/>
        </w:rPr>
        <w:t xml:space="preserve"> муниципального района Брянской области»</w:t>
      </w:r>
      <w:r>
        <w:rPr>
          <w:color w:val="3C3C3C"/>
          <w:spacing w:val="2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color w:val="3C3C3C"/>
          <w:spacing w:val="2"/>
          <w:sz w:val="26"/>
          <w:szCs w:val="26"/>
        </w:rPr>
        <w:t xml:space="preserve">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>
        <w:rPr>
          <w:color w:val="2D2D2D"/>
          <w:spacing w:val="2"/>
          <w:sz w:val="26"/>
          <w:szCs w:val="26"/>
        </w:rPr>
        <w:t>(Приложение).</w:t>
      </w:r>
    </w:p>
    <w:p w:rsidR="00BF3321" w:rsidRDefault="00BF3321" w:rsidP="00BF332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 xml:space="preserve">2. </w:t>
      </w:r>
      <w:proofErr w:type="gramStart"/>
      <w:r>
        <w:rPr>
          <w:color w:val="2D2D2D"/>
          <w:spacing w:val="2"/>
          <w:sz w:val="26"/>
          <w:szCs w:val="26"/>
        </w:rPr>
        <w:t>Признать утратившим силу решение Дубровского сельского Совета  народных депутатов от 22 марта 2019 года № 190 "</w:t>
      </w:r>
      <w:r>
        <w:t xml:space="preserve"> </w:t>
      </w:r>
      <w:r>
        <w:rPr>
          <w:color w:val="2D2D2D"/>
          <w:spacing w:val="2"/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« </w:t>
      </w:r>
      <w:proofErr w:type="spellStart"/>
      <w:r>
        <w:rPr>
          <w:color w:val="2D2D2D"/>
          <w:spacing w:val="2"/>
          <w:sz w:val="26"/>
          <w:szCs w:val="26"/>
        </w:rPr>
        <w:t>Дубровское</w:t>
      </w:r>
      <w:proofErr w:type="spellEnd"/>
      <w:r>
        <w:rPr>
          <w:color w:val="2D2D2D"/>
          <w:spacing w:val="2"/>
          <w:sz w:val="26"/>
          <w:szCs w:val="26"/>
        </w:rPr>
        <w:t xml:space="preserve"> сельское поселение» </w:t>
      </w:r>
      <w:proofErr w:type="spellStart"/>
      <w:r>
        <w:rPr>
          <w:color w:val="2D2D2D"/>
          <w:spacing w:val="2"/>
          <w:sz w:val="26"/>
          <w:szCs w:val="26"/>
        </w:rPr>
        <w:t>Суражского</w:t>
      </w:r>
      <w:proofErr w:type="spellEnd"/>
      <w:r>
        <w:rPr>
          <w:color w:val="2D2D2D"/>
          <w:spacing w:val="2"/>
          <w:sz w:val="26"/>
          <w:szCs w:val="26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 пользование на долгосрочной основе субъектам малого</w:t>
      </w:r>
      <w:proofErr w:type="gramEnd"/>
      <w:r>
        <w:rPr>
          <w:color w:val="2D2D2D"/>
          <w:spacing w:val="2"/>
          <w:sz w:val="26"/>
          <w:szCs w:val="26"/>
        </w:rPr>
        <w:t xml:space="preserve"> и среднего предпринимательства, а так же организациям, образующим инфраструктуру поддержки субъектов малого и среднего предпринимательства".</w:t>
      </w:r>
    </w:p>
    <w:p w:rsidR="00BF3321" w:rsidRDefault="00BF3321" w:rsidP="00BF332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3. Настоящее р</w:t>
      </w:r>
      <w:r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подписания.</w:t>
      </w:r>
    </w:p>
    <w:p w:rsidR="00BF3321" w:rsidRDefault="00BF3321" w:rsidP="00BF332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 Направить настоящее решение для опубликования  в информационно-аналитическом бюллетене «Муниципальный вестник  Дубровского сельского поселения» и на официальном сайте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(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admsur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) в разделе поселения  для ознакомления населения.             </w:t>
      </w:r>
    </w:p>
    <w:p w:rsidR="00BF3321" w:rsidRDefault="00BF3321" w:rsidP="00BF332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F3321" w:rsidRDefault="00BF3321" w:rsidP="00BF332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F3321" w:rsidRDefault="00BF3321" w:rsidP="00BF332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Дубровского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Т.М.Суровенко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321" w:rsidRDefault="00BF3321" w:rsidP="00BF3321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к Решению  Дубровского сельского</w:t>
      </w:r>
    </w:p>
    <w:p w:rsidR="00BF3321" w:rsidRDefault="00BF3321" w:rsidP="00BF3321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 народных  депутатов</w:t>
      </w:r>
    </w:p>
    <w:p w:rsidR="00BF3321" w:rsidRDefault="00BF3321" w:rsidP="00BF3321">
      <w:pPr>
        <w:pStyle w:val="a8"/>
        <w:jc w:val="right"/>
        <w:rPr>
          <w:rFonts w:eastAsia="Times New Roman"/>
          <w:color w:val="3C3C3C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28 декабря 2020  года   № 80</w:t>
      </w:r>
      <w:r>
        <w:rPr>
          <w:rFonts w:eastAsia="Times New Roman"/>
          <w:color w:val="3C3C3C"/>
          <w:sz w:val="26"/>
          <w:szCs w:val="26"/>
        </w:rPr>
        <w:br/>
      </w:r>
    </w:p>
    <w:p w:rsidR="00BF3321" w:rsidRDefault="00BF3321" w:rsidP="00BF3321">
      <w:pPr>
        <w:pStyle w:val="a8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 ДУБРОВСКОЕ СЕЛЬСКОЕ ПОСЕЛЕНИЕ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УРАЖСКОГО МУНИЦИПАЛЬНОГО РАЙОНА БРЯНСКОЙ ОБЛАСТИ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BF3321" w:rsidRDefault="00BF3321" w:rsidP="00BF3321">
      <w:pPr>
        <w:pStyle w:val="a8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F3321" w:rsidRDefault="00BF3321" w:rsidP="00BF3321">
      <w:pPr>
        <w:pStyle w:val="a8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  <w:proofErr w:type="gramEnd"/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F3321" w:rsidRDefault="00BF3321" w:rsidP="00BF3321">
      <w:pPr>
        <w:pStyle w:val="a8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2.2.2.Предоставления имущества, принадлежащего на праве собственности муниципальному образованию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Брянской области во владение и (или) пользование на долгосрочной основе (в том числе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  <w:proofErr w:type="gramEnd"/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Брянской области в сфере оказания имущественной поддержки субъектам малого и среднего предпринимательства.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2.2.4.Повышения эффективности управления муниципальным имуществом, находящимся в собственности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Брянской области, стимулирования развития малого и среднего предпринимательства на территории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Брянской области.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 района  Брянской области.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BF3321" w:rsidRDefault="00BF3321" w:rsidP="00BF3321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3.1.Перечень, изменения и ежегодное дополнение в него утверждаются постановлением администрации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Брянской области (далее - администрация Дубровского сельского поселения).</w:t>
      </w:r>
    </w:p>
    <w:p w:rsidR="00BF3321" w:rsidRDefault="00BF3321" w:rsidP="00BF3321">
      <w:pPr>
        <w:pStyle w:val="a8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осуществляется администрацией Дубровского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Брянской области (далее – администрация Дубровского сельского поселения)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Дубровского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Брянской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Брянской области, уполномоченного на согласование сделки с соответствующим имуществом, на включение имущества в Перечень в целях предоставления такого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предпринимательства. 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администрацией Дубровского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администрацией Дубровского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 принимается одно из следующих решений: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 уполномоченного на согласование сделок с имуществом балансодержателя.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3.8.Администрация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вправе исключить сведения о муниципальном имуществе муниципального образования "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района Брянской области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>
        <w:rPr>
          <w:rFonts w:ascii="Times New Roman" w:hAnsi="Times New Roman" w:cs="Times New Roman"/>
          <w:sz w:val="26"/>
          <w:szCs w:val="26"/>
        </w:rPr>
        <w:t>физических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лиц, применяющих специальный налоговый режим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поступило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F3321" w:rsidRDefault="00BF3321" w:rsidP="00BF3321">
      <w:pPr>
        <w:pStyle w:val="a8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3.9.2.Право собственности муниципального образования "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Дубровское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39 Земельного кодекса Российской Федерации.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 или </w:t>
      </w:r>
      <w:r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арендатором.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3.11.Администрация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 уведомляет арендатора о намерении принять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3321" w:rsidRDefault="00BF3321" w:rsidP="00BF3321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 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Брянской области: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BF3321" w:rsidRDefault="00BF3321" w:rsidP="00BF3321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 Дубровского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в разделе поселения  (в том числе в форме открытых данных) в течение 10 рабочих дней со дня утверждения Перечня или изменений в Перечень.</w:t>
      </w:r>
    </w:p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BF3321" w:rsidRDefault="00BF3321" w:rsidP="00BF3321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p w:rsidR="00F437DF" w:rsidRDefault="00F437DF"/>
    <w:sectPr w:rsidR="00F437DF" w:rsidSect="00C8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7DF"/>
    <w:rsid w:val="007A1E9A"/>
    <w:rsid w:val="009C61C0"/>
    <w:rsid w:val="00BF3321"/>
    <w:rsid w:val="00C8349B"/>
    <w:rsid w:val="00EF4FF4"/>
    <w:rsid w:val="00F4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321"/>
    <w:rPr>
      <w:color w:val="0000FF"/>
      <w:u w:val="single"/>
    </w:rPr>
  </w:style>
  <w:style w:type="paragraph" w:styleId="a4">
    <w:name w:val="Title"/>
    <w:basedOn w:val="a"/>
    <w:link w:val="1"/>
    <w:qFormat/>
    <w:rsid w:val="00BF3321"/>
    <w:pPr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BF3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BF332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BF3321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BF332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F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BF3321"/>
    <w:rPr>
      <w:rFonts w:ascii="Calibri" w:hAnsi="Calibri" w:cs="Calibri"/>
      <w:sz w:val="28"/>
      <w:szCs w:val="28"/>
      <w:lang w:eastAsia="ru-RU"/>
    </w:rPr>
  </w:style>
  <w:style w:type="table" w:styleId="a9">
    <w:name w:val="Table Grid"/>
    <w:basedOn w:val="a1"/>
    <w:uiPriority w:val="59"/>
    <w:rsid w:val="00BF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2825</Words>
  <Characters>16108</Characters>
  <Application>Microsoft Office Word</Application>
  <DocSecurity>0</DocSecurity>
  <Lines>134</Lines>
  <Paragraphs>37</Paragraphs>
  <ScaleCrop>false</ScaleCrop>
  <Company>Microsoft</Company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2021-01-12T11:37:00Z</dcterms:created>
  <dcterms:modified xsi:type="dcterms:W3CDTF">2021-01-12T13:37:00Z</dcterms:modified>
</cp:coreProperties>
</file>